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EA" w:rsidRDefault="00E179EA" w:rsidP="00E179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179EA" w:rsidRDefault="00E179EA" w:rsidP="00E179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28B3">
        <w:rPr>
          <w:rFonts w:ascii="Times New Roman" w:hAnsi="Times New Roman" w:cs="Times New Roman"/>
          <w:sz w:val="20"/>
          <w:szCs w:val="20"/>
        </w:rPr>
        <w:t xml:space="preserve"> к приказу КФ администрации МО ТРЛО</w:t>
      </w:r>
    </w:p>
    <w:p w:rsidR="00E179EA" w:rsidRDefault="00E179EA" w:rsidP="00E179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BA1C1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.12.202</w:t>
      </w:r>
      <w:r w:rsidR="00BA1C1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  <w:r w:rsidR="00BA1C18">
        <w:rPr>
          <w:rFonts w:ascii="Times New Roman" w:hAnsi="Times New Roman" w:cs="Times New Roman"/>
          <w:sz w:val="20"/>
          <w:szCs w:val="20"/>
        </w:rPr>
        <w:t>95</w:t>
      </w:r>
    </w:p>
    <w:p w:rsidR="00E179EA" w:rsidRDefault="00E179EA"/>
    <w:tbl>
      <w:tblPr>
        <w:tblStyle w:val="a3"/>
        <w:tblpPr w:leftFromText="180" w:rightFromText="180" w:vertAnchor="text" w:tblpXSpec="right" w:tblpY="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737A1C" w:rsidRPr="00C60C0C" w:rsidTr="00234009">
        <w:tc>
          <w:tcPr>
            <w:tcW w:w="4928" w:type="dxa"/>
          </w:tcPr>
          <w:p w:rsidR="00737A1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737A1C" w:rsidRPr="00C60C0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C0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37A1C" w:rsidRPr="00C60C0C" w:rsidTr="00234009">
        <w:tc>
          <w:tcPr>
            <w:tcW w:w="4928" w:type="dxa"/>
          </w:tcPr>
          <w:p w:rsidR="00737A1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737A1C" w:rsidRPr="00C60C0C" w:rsidRDefault="00737A1C" w:rsidP="00BA1C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0C0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</w:t>
            </w:r>
          </w:p>
          <w:p w:rsidR="00737A1C" w:rsidRDefault="00737A1C" w:rsidP="00234009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0C0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финансов</w:t>
            </w:r>
          </w:p>
          <w:p w:rsidR="00737A1C" w:rsidRPr="00C60C0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C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7A1C" w:rsidRPr="00C60C0C" w:rsidTr="00234009">
        <w:tc>
          <w:tcPr>
            <w:tcW w:w="4928" w:type="dxa"/>
          </w:tcPr>
          <w:p w:rsidR="00737A1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37A1C" w:rsidRPr="00713020" w:rsidRDefault="00713020" w:rsidP="0071302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BA1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13020">
              <w:rPr>
                <w:rFonts w:ascii="Times New Roman" w:eastAsia="Times New Roman" w:hAnsi="Times New Roman" w:cs="Times New Roman"/>
                <w:sz w:val="28"/>
                <w:szCs w:val="28"/>
              </w:rPr>
              <w:t>Мурша</w:t>
            </w:r>
            <w:proofErr w:type="spellEnd"/>
            <w:r w:rsidRPr="00713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737A1C" w:rsidRPr="00C60C0C" w:rsidTr="00234009">
        <w:tc>
          <w:tcPr>
            <w:tcW w:w="4928" w:type="dxa"/>
          </w:tcPr>
          <w:p w:rsidR="00737A1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737A1C" w:rsidRPr="00C60C0C" w:rsidRDefault="00234009" w:rsidP="0071302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737A1C" w:rsidRPr="00C60C0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737A1C" w:rsidRPr="00C6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</w:tc>
      </w:tr>
      <w:tr w:rsidR="00737A1C" w:rsidRPr="00C60C0C" w:rsidTr="00234009">
        <w:tc>
          <w:tcPr>
            <w:tcW w:w="4928" w:type="dxa"/>
          </w:tcPr>
          <w:p w:rsidR="00737A1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737A1C" w:rsidRPr="00C60C0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A1C" w:rsidRPr="002863EA" w:rsidTr="00234009">
        <w:tc>
          <w:tcPr>
            <w:tcW w:w="4928" w:type="dxa"/>
          </w:tcPr>
          <w:p w:rsidR="00737A1C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737A1C" w:rsidRPr="002863EA" w:rsidRDefault="00713020" w:rsidP="00BA1C1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A1C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декабря</w:t>
            </w:r>
            <w:r w:rsidR="00737A1C" w:rsidRPr="0028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A1C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A1C" w:rsidRPr="0028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737A1C" w:rsidRPr="002863EA" w:rsidRDefault="00737A1C" w:rsidP="00BA1C1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6B4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7A1C" w:rsidRDefault="00F3403E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37A1C">
        <w:rPr>
          <w:rFonts w:ascii="Times New Roman" w:hAnsi="Times New Roman" w:cs="Times New Roman"/>
          <w:b/>
          <w:sz w:val="28"/>
          <w:szCs w:val="28"/>
        </w:rPr>
        <w:t>аудиторских мероприятий</w:t>
      </w:r>
    </w:p>
    <w:p w:rsidR="00737A1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179EA">
        <w:rPr>
          <w:rFonts w:ascii="Times New Roman" w:hAnsi="Times New Roman" w:cs="Times New Roman"/>
          <w:b/>
          <w:sz w:val="28"/>
          <w:szCs w:val="28"/>
        </w:rPr>
        <w:t>2</w:t>
      </w:r>
      <w:r w:rsidR="00BA1C1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E07DF" w:rsidTr="009E07DF">
        <w:tc>
          <w:tcPr>
            <w:tcW w:w="7393" w:type="dxa"/>
          </w:tcPr>
          <w:p w:rsidR="009E07DF" w:rsidRDefault="009E07DF" w:rsidP="00737A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E07DF" w:rsidRDefault="009E07DF" w:rsidP="00737A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7DF" w:rsidTr="009E07DF">
        <w:trPr>
          <w:trHeight w:val="184"/>
        </w:trPr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9E07DF" w:rsidRDefault="009E07DF" w:rsidP="008715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финансов администрации муниципального образования Тосненский район Ленинградской области</w:t>
            </w:r>
          </w:p>
        </w:tc>
      </w:tr>
    </w:tbl>
    <w:p w:rsidR="009E07DF" w:rsidRPr="003408A8" w:rsidRDefault="009E07DF" w:rsidP="009E07D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08A8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главного администратора бюджетных средств)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9E07DF" w:rsidTr="00BA1C18">
        <w:trPr>
          <w:trHeight w:val="184"/>
        </w:trPr>
        <w:tc>
          <w:tcPr>
            <w:tcW w:w="14786" w:type="dxa"/>
            <w:tcBorders>
              <w:bottom w:val="single" w:sz="4" w:space="0" w:color="auto"/>
            </w:tcBorders>
          </w:tcPr>
          <w:p w:rsidR="0087155E" w:rsidRDefault="009E07DF" w:rsidP="008715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финансового контроля комитета финансов </w:t>
            </w:r>
          </w:p>
          <w:p w:rsidR="009E07DF" w:rsidRDefault="0087155E" w:rsidP="008715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E07DF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07DF">
              <w:rPr>
                <w:rFonts w:ascii="Times New Roman" w:eastAsia="Times New Roman" w:hAnsi="Times New Roman" w:cs="Times New Roman"/>
                <w:sz w:val="28"/>
                <w:szCs w:val="28"/>
              </w:rPr>
              <w:t>Тосненский район Ленинградской области</w:t>
            </w:r>
          </w:p>
        </w:tc>
      </w:tr>
    </w:tbl>
    <w:p w:rsidR="009E07DF" w:rsidRPr="003408A8" w:rsidRDefault="009E07DF" w:rsidP="009E07D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08A8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субъекта внутреннего финансового аудита)</w:t>
      </w:r>
    </w:p>
    <w:tbl>
      <w:tblPr>
        <w:tblW w:w="5081" w:type="pct"/>
        <w:tblInd w:w="-34" w:type="dxa"/>
        <w:tblLayout w:type="fixed"/>
        <w:tblLook w:val="04A0"/>
      </w:tblPr>
      <w:tblGrid>
        <w:gridCol w:w="569"/>
        <w:gridCol w:w="5247"/>
        <w:gridCol w:w="1983"/>
        <w:gridCol w:w="2978"/>
        <w:gridCol w:w="1842"/>
        <w:gridCol w:w="2407"/>
      </w:tblGrid>
      <w:tr w:rsidR="00234009" w:rsidRPr="00741EF8" w:rsidTr="00234009">
        <w:trPr>
          <w:trHeight w:val="57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 аудита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Субъект бюджетного процесса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Аудируемый</w:t>
            </w:r>
            <w:proofErr w:type="spellEnd"/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аудиторского мероприятия (дата (месяц окончания))</w:t>
            </w:r>
          </w:p>
        </w:tc>
      </w:tr>
      <w:tr w:rsidR="00234009" w:rsidRPr="00741EF8" w:rsidTr="00234009">
        <w:trPr>
          <w:trHeight w:val="25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009" w:rsidRPr="00741EF8" w:rsidTr="00234009">
        <w:trPr>
          <w:trHeight w:val="27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F" w:rsidRPr="0087155E" w:rsidRDefault="009E07DF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F" w:rsidRPr="0087155E" w:rsidRDefault="00BA1C18" w:rsidP="0090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Подтверждение</w:t>
            </w:r>
            <w:r w:rsidR="009E07DF" w:rsidRPr="002340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</w:t>
            </w:r>
            <w:r w:rsidR="00810B13" w:rsidRPr="002340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Российской Федерации</w:t>
            </w:r>
            <w:r w:rsidR="00234009" w:rsidRPr="002340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234009" w:rsidRPr="002340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также ведомственным (внутренним) актам, принятым в соответствии с </w:t>
            </w:r>
            <w:hyperlink r:id="rId4" w:history="1">
              <w:r w:rsidR="00234009" w:rsidRPr="005F75A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пунктом 5 статьи 264.1</w:t>
              </w:r>
            </w:hyperlink>
            <w:r w:rsidR="00234009" w:rsidRPr="005F75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Бюджетного кодекса </w:t>
            </w:r>
            <w:r w:rsidR="00234009" w:rsidRPr="002340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 Федерации.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9" w:rsidRDefault="00810B13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Бюджетная отчетность </w:t>
            </w:r>
          </w:p>
          <w:p w:rsidR="009E07DF" w:rsidRPr="0087155E" w:rsidRDefault="00810B13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202</w:t>
            </w:r>
            <w:r w:rsidR="00BA1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9" w:rsidRDefault="00810B13" w:rsidP="00234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учета и отчетности </w:t>
            </w: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финансов администрации муниципального образования </w:t>
            </w:r>
          </w:p>
          <w:p w:rsidR="009E07DF" w:rsidRPr="0087155E" w:rsidRDefault="00810B13" w:rsidP="008715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Тосненский район Ленинградской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F" w:rsidRPr="0087155E" w:rsidRDefault="009E07DF" w:rsidP="00BA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810B13"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A1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10B13"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F" w:rsidRPr="0087155E" w:rsidRDefault="00DA376E" w:rsidP="00DA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25.01.2023-30.01.2023 </w:t>
            </w:r>
          </w:p>
        </w:tc>
      </w:tr>
      <w:tr w:rsidR="00234009" w:rsidRPr="00741EF8" w:rsidTr="00234009">
        <w:trPr>
          <w:trHeight w:val="25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55E" w:rsidRPr="0087155E" w:rsidRDefault="0087155E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09" w:rsidRPr="00234009" w:rsidRDefault="00234009" w:rsidP="00234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40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Оценка </w:t>
            </w:r>
            <w:r w:rsidR="008A1A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надежности процедуры по составлению и представлению комитетом финансов </w:t>
            </w:r>
            <w:r w:rsidR="00C03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="00C03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Тосненский</w:t>
            </w:r>
            <w:proofErr w:type="spellEnd"/>
            <w:r w:rsidR="00C03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район Ленинградской области</w:t>
            </w:r>
            <w:r w:rsidR="00DA37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как главным распорядителем бюджетных средств</w:t>
            </w:r>
            <w:r w:rsidR="00C03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A1A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сведений</w:t>
            </w:r>
            <w:r w:rsidR="00C03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необходимых для составления проекта бюджета</w:t>
            </w:r>
            <w:r w:rsidR="00DA37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 w:rsidR="00DA37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Тосненский</w:t>
            </w:r>
            <w:proofErr w:type="spellEnd"/>
            <w:r w:rsidR="00DA376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муниципальный район Ленинградской области</w:t>
            </w:r>
            <w:r w:rsidR="00C03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2023 год и плановый период 2024 и 2025 годов.</w:t>
            </w:r>
          </w:p>
          <w:p w:rsidR="0087155E" w:rsidRPr="0087155E" w:rsidRDefault="0087155E" w:rsidP="00871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5E" w:rsidRPr="0087155E" w:rsidRDefault="00C75815" w:rsidP="00C7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Сведения для составления проекта бюджета на 2023 год и плановый период 2024 и 2025 годов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9" w:rsidRDefault="0087155E" w:rsidP="00234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учета и отчетности </w:t>
            </w: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финансов администрации муниципального образования </w:t>
            </w:r>
          </w:p>
          <w:p w:rsidR="0087155E" w:rsidRPr="0087155E" w:rsidRDefault="0087155E" w:rsidP="00234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 район Ленинградской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5E" w:rsidRPr="0087155E" w:rsidRDefault="0087155E" w:rsidP="00E1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E17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5E" w:rsidRPr="0087155E" w:rsidRDefault="00DA376E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18.12.2023-29.12.2023</w:t>
            </w:r>
          </w:p>
        </w:tc>
      </w:tr>
    </w:tbl>
    <w:p w:rsidR="00810B13" w:rsidRDefault="00810B13" w:rsidP="00737A1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0B13" w:rsidRDefault="00810B13" w:rsidP="00737A1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10A6" w:rsidRDefault="009010A6" w:rsidP="009010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A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Начальник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9010A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отдела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9010A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финансового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9010A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 w:rsidR="00737A1C" w:rsidRPr="00854C2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      </w:t>
      </w:r>
      <w:r w:rsidR="00C758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C75815" w:rsidRPr="00C7581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Л.Г. Бурак </w:t>
      </w:r>
      <w:r w:rsidR="00C75815" w:rsidRPr="00C758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="00C75815" w:rsidRPr="00C7581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75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020" w:rsidRPr="00C7581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30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5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3020">
        <w:rPr>
          <w:rFonts w:ascii="Times New Roman" w:eastAsia="Times New Roman" w:hAnsi="Times New Roman" w:cs="Times New Roman"/>
          <w:sz w:val="28"/>
          <w:szCs w:val="28"/>
        </w:rPr>
        <w:t xml:space="preserve">  декабря </w:t>
      </w:r>
      <w:r w:rsidRPr="002863E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130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58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3E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37A1C" w:rsidRDefault="009010A6" w:rsidP="00737A1C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(должность)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</w:t>
      </w:r>
      <w:r w:rsidR="0071302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(подпи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сь)          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>(расшифровка подписи)</w:t>
      </w:r>
    </w:p>
    <w:p w:rsidR="00737A1C" w:rsidRDefault="00737A1C" w:rsidP="00737A1C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37A1C" w:rsidRDefault="009010A6" w:rsidP="00737A1C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</w:t>
      </w:r>
    </w:p>
    <w:sectPr w:rsidR="00737A1C" w:rsidSect="008715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7A1C"/>
    <w:rsid w:val="0002238B"/>
    <w:rsid w:val="00025833"/>
    <w:rsid w:val="00234009"/>
    <w:rsid w:val="00244368"/>
    <w:rsid w:val="005F75AD"/>
    <w:rsid w:val="00713020"/>
    <w:rsid w:val="00737A1C"/>
    <w:rsid w:val="00810B13"/>
    <w:rsid w:val="0087155E"/>
    <w:rsid w:val="008A1AFA"/>
    <w:rsid w:val="009010A6"/>
    <w:rsid w:val="009E07DF"/>
    <w:rsid w:val="00BA1C18"/>
    <w:rsid w:val="00C03CF0"/>
    <w:rsid w:val="00C20362"/>
    <w:rsid w:val="00C75815"/>
    <w:rsid w:val="00D12BA6"/>
    <w:rsid w:val="00DA376E"/>
    <w:rsid w:val="00E179EA"/>
    <w:rsid w:val="00F3403E"/>
    <w:rsid w:val="00FA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A2A0E1CBA4FB46B7DE290586626720B088FB5614E16114D01615821A21AF57AADF146E5835BF602D60D5645F3FD93F45939BB7D269OF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Лариса Геннадьевна Бурак</cp:lastModifiedBy>
  <cp:revision>6</cp:revision>
  <cp:lastPrinted>2022-12-27T14:00:00Z</cp:lastPrinted>
  <dcterms:created xsi:type="dcterms:W3CDTF">2021-12-29T11:44:00Z</dcterms:created>
  <dcterms:modified xsi:type="dcterms:W3CDTF">2022-12-27T14:09:00Z</dcterms:modified>
</cp:coreProperties>
</file>