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50" w:rsidRDefault="004E4450"/>
    <w:p w:rsidR="006F3B69" w:rsidRDefault="006F3B69"/>
    <w:p w:rsidR="006F3B69" w:rsidRDefault="006F3B69"/>
    <w:p w:rsidR="006F3B69" w:rsidRDefault="006F3B69"/>
    <w:p w:rsidR="006F3B69" w:rsidRPr="008079D9" w:rsidRDefault="006F3B69"/>
    <w:p w:rsidR="006F3B69" w:rsidRDefault="006F3B69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Pr="002C076A" w:rsidRDefault="002A59ED">
      <w:pPr>
        <w:rPr>
          <w:color w:val="000000" w:themeColor="text1"/>
        </w:rPr>
      </w:pPr>
      <w:bookmarkStart w:id="0" w:name="_GoBack"/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585B0C" w:rsidP="006F3B69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         </w:t>
      </w:r>
      <w:r w:rsidR="006F3B69" w:rsidRPr="002C076A">
        <w:rPr>
          <w:b/>
          <w:color w:val="000000" w:themeColor="text1"/>
          <w:sz w:val="28"/>
          <w:szCs w:val="28"/>
        </w:rPr>
        <w:t>ДОКЛАД</w:t>
      </w:r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6F3B69">
      <w:pPr>
        <w:rPr>
          <w:color w:val="000000" w:themeColor="text1"/>
        </w:rPr>
      </w:pPr>
    </w:p>
    <w:tbl>
      <w:tblPr>
        <w:tblW w:w="9354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936"/>
        <w:gridCol w:w="3469"/>
      </w:tblGrid>
      <w:tr w:rsidR="00812C97" w:rsidRPr="002C076A" w:rsidTr="00585B0C"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C076A">
              <w:rPr>
                <w:b/>
                <w:color w:val="000000" w:themeColor="text1"/>
                <w:sz w:val="28"/>
                <w:szCs w:val="28"/>
              </w:rPr>
              <w:t>Клементьева</w:t>
            </w:r>
            <w:proofErr w:type="spellEnd"/>
            <w:r w:rsidRPr="002C076A">
              <w:rPr>
                <w:b/>
                <w:color w:val="000000" w:themeColor="text1"/>
                <w:sz w:val="28"/>
                <w:szCs w:val="28"/>
              </w:rPr>
              <w:t xml:space="preserve"> Андрея Геннадьевича</w:t>
            </w:r>
          </w:p>
        </w:tc>
      </w:tr>
      <w:tr w:rsidR="00812C97" w:rsidRPr="002C076A" w:rsidTr="00585B0C"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i/>
                <w:color w:val="000000" w:themeColor="text1"/>
              </w:rPr>
            </w:pPr>
            <w:r w:rsidRPr="002C076A">
              <w:rPr>
                <w:i/>
                <w:color w:val="000000" w:themeColor="text1"/>
              </w:rPr>
              <w:t>(Ф.И.О. главы администрации муниципального района (городского округа))</w:t>
            </w:r>
          </w:p>
        </w:tc>
      </w:tr>
      <w:tr w:rsidR="00812C97" w:rsidRPr="002C076A" w:rsidTr="00585B0C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>главы администрации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69" w:rsidRPr="002C076A" w:rsidRDefault="006F3B69" w:rsidP="008C5F94">
            <w:pPr>
              <w:rPr>
                <w:b/>
                <w:color w:val="000000" w:themeColor="text1"/>
                <w:sz w:val="28"/>
                <w:szCs w:val="28"/>
              </w:rPr>
            </w:pPr>
            <w:r w:rsidRPr="002C076A">
              <w:rPr>
                <w:b/>
                <w:color w:val="000000" w:themeColor="text1"/>
                <w:sz w:val="28"/>
                <w:szCs w:val="28"/>
              </w:rPr>
              <w:t>муници</w:t>
            </w:r>
            <w:r w:rsidR="008C5F94" w:rsidRPr="002C076A">
              <w:rPr>
                <w:b/>
                <w:color w:val="000000" w:themeColor="text1"/>
                <w:sz w:val="28"/>
                <w:szCs w:val="28"/>
              </w:rPr>
              <w:t xml:space="preserve">пального образования </w:t>
            </w:r>
            <w:proofErr w:type="spellStart"/>
            <w:r w:rsidR="008C5F94" w:rsidRPr="002C076A">
              <w:rPr>
                <w:b/>
                <w:color w:val="000000" w:themeColor="text1"/>
                <w:sz w:val="28"/>
                <w:szCs w:val="28"/>
              </w:rPr>
              <w:t>Тосненский</w:t>
            </w:r>
            <w:proofErr w:type="spellEnd"/>
            <w:r w:rsidR="008C5F94" w:rsidRPr="002C076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076A">
              <w:rPr>
                <w:b/>
                <w:color w:val="000000" w:themeColor="text1"/>
                <w:sz w:val="28"/>
                <w:szCs w:val="28"/>
              </w:rPr>
              <w:t>район Ленинградской области</w:t>
            </w:r>
          </w:p>
        </w:tc>
      </w:tr>
      <w:tr w:rsidR="00812C97" w:rsidRPr="002C076A" w:rsidTr="00585B0C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i/>
                <w:color w:val="000000" w:themeColor="text1"/>
              </w:rPr>
            </w:pPr>
            <w:r w:rsidRPr="002C076A">
              <w:rPr>
                <w:i/>
                <w:color w:val="000000" w:themeColor="text1"/>
              </w:rPr>
              <w:t>наименование муниципального района (городского округа)</w:t>
            </w:r>
          </w:p>
        </w:tc>
      </w:tr>
      <w:tr w:rsidR="00812C97" w:rsidRPr="002C076A" w:rsidTr="003208F2">
        <w:trPr>
          <w:trHeight w:val="8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 xml:space="preserve">о достигнутых значениях показателей </w:t>
            </w:r>
          </w:p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 xml:space="preserve">для оценки эффективности деятельности органов местного самоуправления </w:t>
            </w:r>
          </w:p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>муниципального ра</w:t>
            </w:r>
            <w:r w:rsidR="008C5F94" w:rsidRPr="002C076A">
              <w:rPr>
                <w:color w:val="000000" w:themeColor="text1"/>
                <w:sz w:val="28"/>
                <w:szCs w:val="28"/>
              </w:rPr>
              <w:t>йона (городского округа) за 2022</w:t>
            </w:r>
            <w:r w:rsidRPr="002C076A">
              <w:rPr>
                <w:color w:val="000000" w:themeColor="text1"/>
                <w:sz w:val="28"/>
                <w:szCs w:val="28"/>
              </w:rPr>
              <w:t xml:space="preserve"> (отчётный) год </w:t>
            </w:r>
          </w:p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>и их планируемых значениях на 3-летний период</w:t>
            </w:r>
          </w:p>
        </w:tc>
      </w:tr>
      <w:tr w:rsidR="00812C97" w:rsidRPr="002C076A" w:rsidTr="00585B0C"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A2022" w:rsidRPr="002C076A" w:rsidRDefault="000A2022">
      <w:pPr>
        <w:rPr>
          <w:color w:val="000000" w:themeColor="text1"/>
        </w:rPr>
        <w:sectPr w:rsidR="000A2022" w:rsidRPr="002C076A" w:rsidSect="000A20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F3B69" w:rsidRPr="002C076A" w:rsidRDefault="000A2022" w:rsidP="000A2022">
      <w:pPr>
        <w:pStyle w:val="text1cl"/>
        <w:keepNext/>
        <w:keepLines/>
        <w:widowControl w:val="0"/>
        <w:numPr>
          <w:ilvl w:val="0"/>
          <w:numId w:val="1"/>
        </w:numPr>
        <w:rPr>
          <w:color w:val="000000" w:themeColor="text1"/>
        </w:rPr>
      </w:pPr>
      <w:r w:rsidRPr="002C076A">
        <w:rPr>
          <w:color w:val="000000" w:themeColor="text1"/>
        </w:rPr>
        <w:lastRenderedPageBreak/>
        <w:t xml:space="preserve">Показатели эффективности деятельности органов местного самоуправления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муниципальный район Ленинградской области</w:t>
      </w:r>
    </w:p>
    <w:p w:rsidR="006F3B69" w:rsidRPr="002C076A" w:rsidRDefault="006F3B69">
      <w:pPr>
        <w:rPr>
          <w:color w:val="000000" w:themeColor="text1"/>
        </w:rPr>
      </w:pP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706"/>
        <w:gridCol w:w="3087"/>
        <w:gridCol w:w="2050"/>
        <w:gridCol w:w="1266"/>
        <w:gridCol w:w="1266"/>
        <w:gridCol w:w="1266"/>
        <w:gridCol w:w="1266"/>
        <w:gridCol w:w="1266"/>
        <w:gridCol w:w="1266"/>
        <w:gridCol w:w="1719"/>
      </w:tblGrid>
      <w:tr w:rsidR="005A18CF" w:rsidRPr="002C076A" w:rsidTr="00F872E8">
        <w:trPr>
          <w:trHeight w:val="7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2020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2021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2022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2023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2024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2025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Примечание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I. Экономическое развитие</w:t>
            </w:r>
          </w:p>
        </w:tc>
      </w:tr>
      <w:tr w:rsidR="005A18CF" w:rsidRPr="002C076A" w:rsidTr="00F872E8">
        <w:trPr>
          <w:trHeight w:val="7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324,80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351,30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330,71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C20C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339,50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C20C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353,08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C20C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367,20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39,95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44,09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43,57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43,65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43,70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51350,00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87100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50231,9</w:t>
            </w:r>
            <w:r w:rsidR="006B36D5" w:rsidRPr="002C076A">
              <w:rPr>
                <w:rFonts w:eastAsia="Times New Roman"/>
                <w:b/>
                <w:color w:val="000000" w:themeColor="text1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D2EFE" w:rsidP="00B447E5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32666,8</w:t>
            </w:r>
            <w:r w:rsidR="00B447E5" w:rsidRPr="002C076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55308,30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56728,40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76384,70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D2EF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7D4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7D4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7D4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63,62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C2792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60,88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57,45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55,18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52,91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408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</w:t>
            </w: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D62924" w:rsidP="005A18C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2C076A">
              <w:rPr>
                <w:color w:val="000000" w:themeColor="text1"/>
                <w:sz w:val="22"/>
                <w:szCs w:val="22"/>
                <w:shd w:val="clear" w:color="auto" w:fill="FFFFFF"/>
              </w:rPr>
              <w:t>данные с 2022 года с учетом итогов ВПН-2020</w:t>
            </w:r>
            <w:r w:rsidR="005A18CF" w:rsidRPr="002C076A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5A18CF" w:rsidRPr="002C076A" w:rsidTr="00F872E8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крупных и средних предприятий и некоммерческих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49684,00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54375,00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7F09C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Theme="majorEastAsia"/>
                <w:iCs/>
                <w:color w:val="000000" w:themeColor="text1"/>
              </w:rPr>
              <w:t>59276</w:t>
            </w:r>
            <w:r w:rsidR="004939EA" w:rsidRPr="002C076A">
              <w:rPr>
                <w:rFonts w:eastAsiaTheme="majorEastAsia"/>
                <w:iCs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4939E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bCs/>
                <w:color w:val="000000" w:themeColor="text1"/>
              </w:rPr>
              <w:t>64729,00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4939E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bCs/>
                <w:color w:val="000000" w:themeColor="text1"/>
              </w:rPr>
              <w:t>69324,00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4939E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73899,00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муниципальных дошкольных 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34186,00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35043,00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39030</w:t>
            </w:r>
            <w:r w:rsidR="006B36D5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40591,00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42200,00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43490,00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2C076A">
              <w:rPr>
                <w:rFonts w:eastAsia="Times New Roman"/>
                <w:color w:val="000000" w:themeColor="text1"/>
              </w:rPr>
              <w:t>муниципальныx</w:t>
            </w:r>
            <w:proofErr w:type="spellEnd"/>
            <w:r w:rsidRPr="002C076A">
              <w:rPr>
                <w:rFonts w:eastAsia="Times New Roman"/>
                <w:color w:val="000000" w:themeColor="text1"/>
              </w:rPr>
              <w:t xml:space="preserve">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45026,00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47491,00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51054</w:t>
            </w:r>
            <w:r w:rsidR="00AC67C8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53096,00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55200,00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56596,00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учителей </w:t>
            </w:r>
            <w:proofErr w:type="spellStart"/>
            <w:r w:rsidRPr="002C076A">
              <w:rPr>
                <w:rFonts w:eastAsia="Times New Roman"/>
                <w:color w:val="000000" w:themeColor="text1"/>
              </w:rPr>
              <w:t>муниципальныx</w:t>
            </w:r>
            <w:proofErr w:type="spellEnd"/>
            <w:r w:rsidRPr="002C076A">
              <w:rPr>
                <w:rFonts w:eastAsia="Times New Roman"/>
                <w:color w:val="000000" w:themeColor="text1"/>
              </w:rPr>
              <w:t xml:space="preserve">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47967,90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35020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48644,80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35020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52254,80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55042,90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56857,00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58633,30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муниципальных учреждений культуры и искусства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46117,00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49253,00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52642</w:t>
            </w:r>
            <w:r w:rsidR="00AC67C8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54748,00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56938,00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59216,00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муниципальных учреждений физической культуры и спорта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26694,00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35529,00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37850</w:t>
            </w:r>
            <w:r w:rsidR="00AC67C8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38980,00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40150,00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41350,00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II. Дошкольное образование</w:t>
            </w:r>
          </w:p>
        </w:tc>
      </w:tr>
      <w:tr w:rsidR="005A18CF" w:rsidRPr="002C076A" w:rsidTr="00F872E8">
        <w:trPr>
          <w:trHeight w:val="178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87,80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  <w:highlight w:val="yellow"/>
              </w:rPr>
              <w:t>97,59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8C5F94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III. Общее и дополнительное образование</w:t>
            </w:r>
          </w:p>
        </w:tc>
      </w:tr>
      <w:tr w:rsidR="005A18CF" w:rsidRPr="002C076A" w:rsidTr="001A7237">
        <w:trPr>
          <w:trHeight w:val="229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</w:t>
            </w:r>
            <w:r w:rsidR="00D85780" w:rsidRPr="002C076A">
              <w:rPr>
                <w:rFonts w:eastAsia="Times New Roman"/>
                <w:color w:val="000000" w:themeColor="text1"/>
              </w:rPr>
              <w:t>данным предметам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931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Исключен с 20 марта 2017 года. - </w:t>
            </w:r>
            <w:hyperlink r:id="rId6" w:history="1">
              <w:r w:rsidRPr="002C076A">
                <w:rPr>
                  <w:color w:val="000000" w:themeColor="text1"/>
                </w:rPr>
                <w:t>Постановление</w:t>
              </w:r>
            </w:hyperlink>
            <w:r w:rsidRPr="002C076A">
              <w:rPr>
                <w:color w:val="000000" w:themeColor="text1"/>
              </w:rPr>
              <w:t xml:space="preserve"> Правительства Ленинградской области от 20.03.2017 N 65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5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78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4DF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4DF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5A18CF" w:rsidRPr="002C076A" w:rsidTr="00F872E8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детей первой и второй групп здоровья в общей </w:t>
            </w:r>
            <w:proofErr w:type="gramStart"/>
            <w:r w:rsidRPr="002C076A">
              <w:rPr>
                <w:rFonts w:eastAsia="Times New Roman"/>
                <w:color w:val="000000" w:themeColor="text1"/>
              </w:rPr>
              <w:t>численности</w:t>
            </w:r>
            <w:proofErr w:type="gramEnd"/>
            <w:r w:rsidRPr="002C076A">
              <w:rPr>
                <w:rFonts w:eastAsia="Times New Roman"/>
                <w:color w:val="000000" w:themeColor="text1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53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C076A">
              <w:rPr>
                <w:rFonts w:eastAsia="Times New Roman"/>
                <w:color w:val="000000" w:themeColor="text1"/>
              </w:rPr>
              <w:t>численности</w:t>
            </w:r>
            <w:proofErr w:type="gramEnd"/>
            <w:r w:rsidRPr="002C076A">
              <w:rPr>
                <w:rFonts w:eastAsia="Times New Roman"/>
                <w:color w:val="000000" w:themeColor="text1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1129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Расходы бюджета муниципального образования на общее образование в расчете на 1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обучающегося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16,34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20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19.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79,33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82,60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IV. Культура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клубами и учреждений клубного типа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библиотеками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парками культуры и отдыха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62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количестве муниципальных учреждений культуры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22.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V. Физическая культура и спорт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39,93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43,23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46,01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23.1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VI. Жилищное строительство и обеспечение граждан жильем</w:t>
            </w:r>
          </w:p>
        </w:tc>
      </w:tr>
      <w:tr w:rsidR="005A18CF" w:rsidRPr="002C076A" w:rsidTr="00F872E8">
        <w:trPr>
          <w:trHeight w:val="84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24.</w:t>
            </w:r>
          </w:p>
          <w:p w:rsidR="00B62835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B62835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B62835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B62835" w:rsidRPr="002C076A" w:rsidRDefault="002E1213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24.1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34,47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в том числе введенная в действие за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кв.</w:t>
            </w:r>
            <w:r w:rsidR="001A7237" w:rsidRPr="002C076A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2C076A">
              <w:rPr>
                <w:rFonts w:eastAsia="Times New Roman"/>
                <w:b/>
                <w:color w:val="000000" w:themeColor="text1"/>
              </w:rPr>
              <w:t>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  <w:highlight w:val="yellow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D2EFE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1,5</w:t>
            </w:r>
            <w:r w:rsidR="00B62835" w:rsidRPr="002C076A">
              <w:rPr>
                <w:rFonts w:eastAsia="Times New Roman"/>
                <w:b/>
                <w:color w:val="000000" w:themeColor="text1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B62835" w:rsidRPr="002C076A" w:rsidTr="00835DFE">
        <w:trPr>
          <w:trHeight w:val="1035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гектаров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C35B6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C35B6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B62835" w:rsidRPr="002C076A" w:rsidTr="00835DFE">
        <w:trPr>
          <w:trHeight w:val="1545"/>
        </w:trPr>
        <w:tc>
          <w:tcPr>
            <w:tcW w:w="706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гектаров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835" w:rsidRPr="002C076A" w:rsidRDefault="00C35B6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B62835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205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объектов жилищного строительства - в течение 3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24457,50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иных объектов капитального строительства - в течение 5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VII. Жилищно-коммунальное хозяйство</w:t>
            </w:r>
          </w:p>
        </w:tc>
      </w:tr>
      <w:tr w:rsidR="005A18CF" w:rsidRPr="002C076A" w:rsidTr="00F872E8">
        <w:trPr>
          <w:trHeight w:val="205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F688D">
        <w:trPr>
          <w:trHeight w:val="311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2C076A">
              <w:rPr>
                <w:rFonts w:eastAsia="Times New Roman"/>
                <w:color w:val="000000" w:themeColor="text1"/>
              </w:rPr>
              <w:t>инфрастуктуры</w:t>
            </w:r>
            <w:proofErr w:type="spellEnd"/>
            <w:r w:rsidRPr="002C076A">
              <w:rPr>
                <w:rFonts w:eastAsia="Times New Roman"/>
                <w:color w:val="000000" w:themeColor="text1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70,59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82,61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29.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E3B9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87,31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E3B9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61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4,7</w:t>
            </w:r>
            <w:r w:rsidR="000F45BE" w:rsidRPr="002C076A">
              <w:rPr>
                <w:rFonts w:eastAsia="Times New Roman"/>
                <w:b/>
                <w:color w:val="000000" w:themeColor="text1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</w:t>
            </w:r>
            <w:r w:rsidR="000F45BE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VIII. Организация муниципального управления</w:t>
            </w:r>
          </w:p>
        </w:tc>
      </w:tr>
      <w:tr w:rsidR="005A18CF" w:rsidRPr="002C076A" w:rsidTr="00F872E8">
        <w:trPr>
          <w:trHeight w:val="20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31.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60,99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F10657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56,65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59,13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68,73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71,48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61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34.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2824,09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3034,41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CF454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2961,34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3263,59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3332,54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3400,34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1=Да / 0=Нет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B62835">
        <w:trPr>
          <w:trHeight w:val="55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 xml:space="preserve">Удовлетворенность населения деятельностью органов местного самоуправления </w:t>
            </w: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процент от числа опрошенных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E63D09">
        <w:trPr>
          <w:trHeight w:val="85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38.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Среднегодовая численность постоянного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тыс. 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125,20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122,20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D2EF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513F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513F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513F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135,7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  <w:r w:rsidR="00B513FF" w:rsidRPr="002C076A">
              <w:rPr>
                <w:color w:val="000000" w:themeColor="text1"/>
                <w:sz w:val="22"/>
                <w:szCs w:val="22"/>
                <w:shd w:val="clear" w:color="auto" w:fill="FFFFFF"/>
              </w:rPr>
              <w:t>данные с 2022 года с учетом итогов ВПН-2020</w:t>
            </w:r>
            <w:r w:rsidR="00B513FF" w:rsidRPr="002C076A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IX. Энергосбережение и повышение энергетической эффективности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72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электрическая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кВт/ч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1428,50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1482,43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тепловая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Гкал на 1 кв. метр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901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горячая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16,35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98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холодная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природный газ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87,85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92,02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8E3F37">
        <w:trPr>
          <w:trHeight w:val="558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 xml:space="preserve">Удельная величина потребления энергетических ресурсов муниципальными </w:t>
            </w: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бюджетными учреждениями: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электрическая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кВт/ч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78,62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тепловая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Гкал на 1 кв. метр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E348C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горячая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08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холодная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15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природный газ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  <w:r w:rsidR="001F688D" w:rsidRPr="002C076A">
              <w:rPr>
                <w:rFonts w:eastAsia="Times New Roman"/>
                <w:b/>
                <w:color w:val="000000" w:themeColor="text1"/>
              </w:rPr>
              <w:t>с 2022 года в МУ используется газ</w:t>
            </w:r>
          </w:p>
        </w:tc>
      </w:tr>
      <w:tr w:rsidR="005A18CF" w:rsidRPr="002C076A" w:rsidTr="00F872E8">
        <w:trPr>
          <w:trHeight w:val="2684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в сфере культуры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баллы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D79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83,04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в сфере образования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баллы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</w:tbl>
    <w:p w:rsidR="000A2022" w:rsidRPr="002C076A" w:rsidRDefault="000A2022">
      <w:pPr>
        <w:rPr>
          <w:color w:val="000000" w:themeColor="text1"/>
        </w:rPr>
        <w:sectPr w:rsidR="000A2022" w:rsidRPr="002C076A" w:rsidSect="000A20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4450" w:rsidRPr="002C076A" w:rsidRDefault="000A2022" w:rsidP="00585B0C">
      <w:pPr>
        <w:jc w:val="center"/>
        <w:rPr>
          <w:color w:val="000000" w:themeColor="text1"/>
        </w:rPr>
      </w:pPr>
      <w:r w:rsidRPr="002C076A">
        <w:rPr>
          <w:color w:val="000000" w:themeColor="text1"/>
          <w:lang w:val="en-US"/>
        </w:rPr>
        <w:lastRenderedPageBreak/>
        <w:t>II</w:t>
      </w:r>
      <w:r w:rsidRPr="002C076A">
        <w:rPr>
          <w:color w:val="000000" w:themeColor="text1"/>
        </w:rPr>
        <w:t xml:space="preserve">.         </w:t>
      </w:r>
      <w:r w:rsidR="004E4450" w:rsidRPr="002C076A">
        <w:rPr>
          <w:color w:val="000000" w:themeColor="text1"/>
        </w:rPr>
        <w:t>Текстовая часть</w:t>
      </w:r>
    </w:p>
    <w:p w:rsidR="000A2022" w:rsidRPr="002C076A" w:rsidRDefault="000A2022">
      <w:pPr>
        <w:rPr>
          <w:color w:val="000000" w:themeColor="text1"/>
        </w:rPr>
      </w:pPr>
    </w:p>
    <w:p w:rsidR="00585B0C" w:rsidRPr="002C076A" w:rsidRDefault="00585B0C">
      <w:pPr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Основные сведения </w:t>
      </w: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о муниципальном районе </w:t>
      </w: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и органах местного самоуправления муниципального района </w:t>
      </w:r>
    </w:p>
    <w:p w:rsidR="00585B0C" w:rsidRPr="002C076A" w:rsidRDefault="00585B0C" w:rsidP="00585B0C">
      <w:pPr>
        <w:rPr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i/>
          <w:color w:val="000000" w:themeColor="text1"/>
          <w:sz w:val="28"/>
          <w:szCs w:val="28"/>
        </w:rPr>
      </w:pPr>
      <w:r w:rsidRPr="002C076A">
        <w:rPr>
          <w:b/>
          <w:i/>
          <w:color w:val="000000" w:themeColor="text1"/>
          <w:sz w:val="28"/>
          <w:szCs w:val="28"/>
        </w:rPr>
        <w:t>Муниципальное образование</w:t>
      </w:r>
    </w:p>
    <w:p w:rsidR="00585B0C" w:rsidRPr="002C076A" w:rsidRDefault="00585B0C" w:rsidP="00585B0C">
      <w:pPr>
        <w:jc w:val="center"/>
        <w:rPr>
          <w:b/>
          <w:i/>
          <w:color w:val="000000" w:themeColor="text1"/>
          <w:sz w:val="28"/>
          <w:szCs w:val="28"/>
        </w:rPr>
      </w:pPr>
      <w:r w:rsidRPr="002C076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C076A">
        <w:rPr>
          <w:b/>
          <w:i/>
          <w:color w:val="000000" w:themeColor="text1"/>
          <w:sz w:val="28"/>
          <w:szCs w:val="28"/>
        </w:rPr>
        <w:t>Тосненский</w:t>
      </w:r>
      <w:proofErr w:type="spellEnd"/>
      <w:r w:rsidRPr="002C076A">
        <w:rPr>
          <w:b/>
          <w:i/>
          <w:color w:val="000000" w:themeColor="text1"/>
          <w:sz w:val="28"/>
          <w:szCs w:val="28"/>
        </w:rPr>
        <w:t xml:space="preserve"> муниципальный район Ленинградской области</w:t>
      </w:r>
    </w:p>
    <w:p w:rsidR="00585B0C" w:rsidRPr="002C076A" w:rsidRDefault="00585B0C" w:rsidP="00585B0C">
      <w:pPr>
        <w:jc w:val="center"/>
        <w:rPr>
          <w:b/>
          <w:i/>
          <w:color w:val="000000" w:themeColor="text1"/>
          <w:sz w:val="28"/>
          <w:szCs w:val="28"/>
        </w:rPr>
      </w:pPr>
    </w:p>
    <w:p w:rsidR="00585B0C" w:rsidRPr="002C076A" w:rsidRDefault="00585B0C" w:rsidP="00F67FE9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Сведения приводятся в соответствии с Уставом муниципального образования, штатным расписанием администрации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и поселений, входящих в состав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муниципальный района</w:t>
      </w: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026"/>
      </w:tblGrid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jc w:val="center"/>
              <w:rPr>
                <w:b/>
                <w:color w:val="000000" w:themeColor="text1"/>
              </w:rPr>
            </w:pPr>
            <w:r w:rsidRPr="002C076A">
              <w:rPr>
                <w:b/>
                <w:color w:val="000000" w:themeColor="text1"/>
              </w:rPr>
              <w:t>Наименование сведений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b/>
                <w:color w:val="000000" w:themeColor="text1"/>
              </w:rPr>
            </w:pPr>
            <w:r w:rsidRPr="002C076A">
              <w:rPr>
                <w:b/>
                <w:color w:val="000000" w:themeColor="text1"/>
              </w:rPr>
              <w:t>Сведения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Областной закон, которым образовано муниципальное образование (установлены границы, наделено соответствующим статусом, определен административный центр, определен перечень поселений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Областной закон от 22.12.2004 № 116-оз «Об установлении границ и наделении соответствующим статусом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муниципальный район и муниципальных образований в его составе» (с изменениями)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Административный центр муниципального образования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г. Тосно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Число городских и сельских поселений (отдельно), входящих в состав муниципального района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8 – городских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5 – сельских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Сведения об имевших место преобразованиях муниципального района и поселений в его составе, принятых областными законами после 2005 года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Закон Ленинградской области от 05 июня 2017 года № 30-оз «Об административно – территориальных преобразованиях в </w:t>
            </w:r>
            <w:proofErr w:type="spellStart"/>
            <w:r w:rsidRPr="002C076A">
              <w:rPr>
                <w:color w:val="000000" w:themeColor="text1"/>
              </w:rPr>
              <w:t>Тосненском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муниципальном районе Ленинградской области в связи с изменениями категории населенного пункта Федоровское (Принят Законодательным собранием Ленинградской о</w:t>
            </w:r>
            <w:r w:rsidR="00EC4B86" w:rsidRPr="002C076A">
              <w:rPr>
                <w:color w:val="000000" w:themeColor="text1"/>
              </w:rPr>
              <w:t>бласти 31 мая 2017 года). В 2022</w:t>
            </w:r>
            <w:r w:rsidRPr="002C076A">
              <w:rPr>
                <w:color w:val="000000" w:themeColor="text1"/>
              </w:rPr>
              <w:t xml:space="preserve"> году преобразований не было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Площадь муниципального образования на 1 января года, следующего за отчетным (</w:t>
            </w:r>
            <w:proofErr w:type="spellStart"/>
            <w:r w:rsidRPr="002C076A">
              <w:rPr>
                <w:color w:val="000000" w:themeColor="text1"/>
                <w:lang w:eastAsia="en-US"/>
              </w:rPr>
              <w:t>кв.км</w:t>
            </w:r>
            <w:proofErr w:type="spellEnd"/>
            <w:r w:rsidRPr="002C076A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5026" w:type="dxa"/>
            <w:vAlign w:val="center"/>
          </w:tcPr>
          <w:p w:rsidR="00585B0C" w:rsidRPr="002C076A" w:rsidRDefault="00FE05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3601,858 кв. км</w:t>
            </w:r>
          </w:p>
        </w:tc>
      </w:tr>
      <w:tr w:rsidR="00585B0C" w:rsidRPr="002C076A" w:rsidTr="001E38FF">
        <w:trPr>
          <w:trHeight w:val="26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Население муниципального образования на 1 января года, следующего за отчетным (</w:t>
            </w:r>
            <w:proofErr w:type="spellStart"/>
            <w:r w:rsidRPr="002C076A">
              <w:rPr>
                <w:color w:val="000000" w:themeColor="text1"/>
                <w:lang w:eastAsia="en-US"/>
              </w:rPr>
              <w:t>тыс.чел</w:t>
            </w:r>
            <w:proofErr w:type="spellEnd"/>
            <w:r w:rsidRPr="002C076A">
              <w:rPr>
                <w:color w:val="000000" w:themeColor="text1"/>
                <w:lang w:eastAsia="en-US"/>
              </w:rPr>
              <w:t xml:space="preserve">.), в </w:t>
            </w:r>
            <w:proofErr w:type="spellStart"/>
            <w:r w:rsidRPr="002C076A">
              <w:rPr>
                <w:color w:val="000000" w:themeColor="text1"/>
                <w:lang w:eastAsia="en-US"/>
              </w:rPr>
              <w:t>т.ч</w:t>
            </w:r>
            <w:proofErr w:type="spellEnd"/>
            <w:r w:rsidRPr="002C076A">
              <w:rPr>
                <w:color w:val="000000" w:themeColor="text1"/>
                <w:lang w:eastAsia="en-US"/>
              </w:rPr>
              <w:t>. городское и сельское (отдельно)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По данным </w:t>
            </w:r>
            <w:proofErr w:type="spellStart"/>
            <w:r w:rsidRPr="002C076A">
              <w:rPr>
                <w:color w:val="000000" w:themeColor="text1"/>
              </w:rPr>
              <w:t>Петростата</w:t>
            </w:r>
            <w:proofErr w:type="spellEnd"/>
            <w:r w:rsidRPr="002C076A">
              <w:rPr>
                <w:color w:val="000000" w:themeColor="text1"/>
              </w:rPr>
              <w:t>:</w:t>
            </w:r>
          </w:p>
          <w:p w:rsidR="00585B0C" w:rsidRPr="002C076A" w:rsidRDefault="00EC4B86" w:rsidP="00585B0C">
            <w:pPr>
              <w:jc w:val="center"/>
              <w:rPr>
                <w:b/>
                <w:color w:val="000000" w:themeColor="text1"/>
              </w:rPr>
            </w:pPr>
            <w:r w:rsidRPr="002C076A">
              <w:rPr>
                <w:b/>
                <w:color w:val="000000" w:themeColor="text1"/>
              </w:rPr>
              <w:t>На 01.01.2023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Всего – </w:t>
            </w:r>
            <w:r w:rsidR="003B057F" w:rsidRPr="002C076A">
              <w:rPr>
                <w:color w:val="000000" w:themeColor="text1"/>
              </w:rPr>
              <w:t>133,1</w:t>
            </w:r>
            <w:r w:rsidRPr="002C076A">
              <w:rPr>
                <w:color w:val="000000" w:themeColor="text1"/>
              </w:rPr>
              <w:t xml:space="preserve"> тыс. человек,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в </w:t>
            </w:r>
            <w:proofErr w:type="spell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 xml:space="preserve">. городское – </w:t>
            </w:r>
            <w:r w:rsidR="003B057F" w:rsidRPr="002C076A">
              <w:rPr>
                <w:color w:val="000000" w:themeColor="text1"/>
              </w:rPr>
              <w:t>87,7</w:t>
            </w:r>
            <w:r w:rsidRPr="002C076A">
              <w:rPr>
                <w:color w:val="000000" w:themeColor="text1"/>
              </w:rPr>
              <w:t xml:space="preserve"> тыс. человек, 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сельское – </w:t>
            </w:r>
            <w:r w:rsidR="003B057F" w:rsidRPr="002C076A">
              <w:rPr>
                <w:color w:val="000000" w:themeColor="text1"/>
              </w:rPr>
              <w:t>45,4</w:t>
            </w:r>
            <w:r w:rsidRPr="002C076A">
              <w:rPr>
                <w:color w:val="000000" w:themeColor="text1"/>
              </w:rPr>
              <w:t xml:space="preserve"> тыс. человек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Как формируется представительный орган муниципального образования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Совет депутатов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муниципальный район Ленинградской области формируется: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- из глав поселений, входящих в состав муниципального района,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 из депутатов указанных поселений, избираемых советами депутатов поселений из своего состава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lastRenderedPageBreak/>
              <w:t>Дата проведения выборов действующего состава представительного органа и срок его полномочий</w:t>
            </w:r>
          </w:p>
        </w:tc>
        <w:tc>
          <w:tcPr>
            <w:tcW w:w="5026" w:type="dxa"/>
          </w:tcPr>
          <w:p w:rsidR="002E6FFF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08 сентября 2019 года состоялись выборы депутатов совета депутатов четвертого созыва; срок полномочий – 5 лет.</w:t>
            </w:r>
          </w:p>
          <w:p w:rsidR="002E6FFF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11 сентября 2022 года состоялись выборы депутатов:</w:t>
            </w:r>
          </w:p>
          <w:p w:rsidR="002E6FFF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 Федоровского городского поселения второго созыва (срок полномочий 5 лет);</w:t>
            </w:r>
          </w:p>
          <w:p w:rsidR="00585B0C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- </w:t>
            </w:r>
            <w:proofErr w:type="spellStart"/>
            <w:r w:rsidRPr="002C076A">
              <w:rPr>
                <w:color w:val="000000" w:themeColor="text1"/>
              </w:rPr>
              <w:t>Тельмановского</w:t>
            </w:r>
            <w:proofErr w:type="spellEnd"/>
            <w:r w:rsidRPr="002C076A">
              <w:rPr>
                <w:color w:val="000000" w:themeColor="text1"/>
              </w:rPr>
              <w:t xml:space="preserve"> сельского поселения пятого созыва (срок полномочий 5 лет)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Число депутатов представительного органа (согласно уставу и фактически на 1 января года, следующего за отчетным)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26 депутатов согласно Уставу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муниципальный район Ленинградской области;</w:t>
            </w:r>
          </w:p>
          <w:p w:rsidR="00585B0C" w:rsidRPr="002C076A" w:rsidRDefault="002E6FFF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26 депутатов – на 01 января 2023</w:t>
            </w:r>
            <w:r w:rsidR="00585B0C" w:rsidRPr="002C076A">
              <w:rPr>
                <w:color w:val="000000" w:themeColor="text1"/>
              </w:rPr>
              <w:t xml:space="preserve"> года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Кто возглавляет администрацию (глава муниципального образования или лицо, назначаемое по контракту)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Администрацию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 возглавляет глава администрации, назначенный на должность по контракту, заключаемому по результатам конкурса на замещение указанной должности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Дата назначения по контракту (или избрания) действующего главы администрации и срок его полномочий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Глава администрации назначен 18 октября 2019 года; срок полномочий – 5 лет (решение совета депутатов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 от 18.10.2019 № 12)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Основания смены главы администрации, если она имела место в отчетном году (истечение срока полномочий или иное)</w:t>
            </w:r>
          </w:p>
        </w:tc>
        <w:tc>
          <w:tcPr>
            <w:tcW w:w="5026" w:type="dxa"/>
          </w:tcPr>
          <w:p w:rsidR="00585B0C" w:rsidRPr="002C076A" w:rsidRDefault="002E6FFF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В 2022</w:t>
            </w:r>
            <w:r w:rsidR="00585B0C" w:rsidRPr="002C076A">
              <w:rPr>
                <w:color w:val="000000" w:themeColor="text1"/>
              </w:rPr>
              <w:t xml:space="preserve"> году назначенный глава администрации продолжал исполнять свои полномочия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Общая численность работников органов местного самоуправления на 1 января года, следующего за отчетным (в том числе замещающих муниципальные должности)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375 чел. (в </w:t>
            </w:r>
            <w:proofErr w:type="spell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 xml:space="preserve">.  8 чел.- замещающих </w:t>
            </w:r>
            <w:proofErr w:type="gramStart"/>
            <w:r w:rsidRPr="002C076A">
              <w:rPr>
                <w:color w:val="000000" w:themeColor="text1"/>
              </w:rPr>
              <w:t>муниципальные  должности</w:t>
            </w:r>
            <w:proofErr w:type="gramEnd"/>
            <w:r w:rsidRPr="002C076A">
              <w:rPr>
                <w:color w:val="000000" w:themeColor="text1"/>
              </w:rPr>
              <w:t>)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Общая фактическая численность муниципальных служащих - всего,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 В </w:t>
            </w:r>
            <w:proofErr w:type="spell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>.: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-исполняющих собственные полномочия муниципального образования;</w:t>
            </w:r>
          </w:p>
          <w:p w:rsidR="00C74CC2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-исполняющих переданные государственные полномочия;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-исполняющие полномочия иных муниципальных образований, переданные соглашениями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343 чел.</w:t>
            </w: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t>317 чел.</w:t>
            </w: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t>25 чел.</w:t>
            </w: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C74CC2" w:rsidRPr="002C076A" w:rsidRDefault="00C74CC2" w:rsidP="00585B0C">
            <w:pPr>
              <w:jc w:val="center"/>
              <w:rPr>
                <w:color w:val="000000" w:themeColor="text1"/>
              </w:rPr>
            </w:pPr>
          </w:p>
          <w:p w:rsidR="00C74CC2" w:rsidRPr="002C076A" w:rsidRDefault="00C74CC2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5 чел.</w:t>
            </w:r>
          </w:p>
        </w:tc>
      </w:tr>
      <w:tr w:rsidR="00585B0C" w:rsidRPr="002C076A" w:rsidTr="001E38FF">
        <w:trPr>
          <w:trHeight w:val="3881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lastRenderedPageBreak/>
              <w:t>Расходы на содержание работников органов местного самоуправления за отчетный год – всего,</w:t>
            </w:r>
          </w:p>
          <w:p w:rsidR="00585B0C" w:rsidRPr="002C076A" w:rsidRDefault="00585B0C" w:rsidP="00585B0C">
            <w:pPr>
              <w:ind w:left="360"/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В </w:t>
            </w:r>
            <w:proofErr w:type="spellStart"/>
            <w:proofErr w:type="gram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>. :</w:t>
            </w:r>
            <w:proofErr w:type="gramEnd"/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 исполняющих собственные полномочия муниципального образования;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-исполняющих переданные государственные полномочия;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-исполняющие полномочия иных муниципальных образований, переданные соглашениями</w:t>
            </w:r>
          </w:p>
        </w:tc>
        <w:tc>
          <w:tcPr>
            <w:tcW w:w="5026" w:type="dxa"/>
          </w:tcPr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463 608,6 </w:t>
            </w:r>
            <w:r w:rsidR="00585B0C" w:rsidRPr="002C076A">
              <w:rPr>
                <w:color w:val="000000" w:themeColor="text1"/>
              </w:rPr>
              <w:t>тыс. руб.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433 048,3 </w:t>
            </w:r>
            <w:r w:rsidR="00585B0C" w:rsidRPr="002C076A">
              <w:rPr>
                <w:color w:val="000000" w:themeColor="text1"/>
              </w:rPr>
              <w:t>тыс. руб.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22 186,2 </w:t>
            </w:r>
            <w:r w:rsidR="00585B0C" w:rsidRPr="002C076A">
              <w:rPr>
                <w:color w:val="000000" w:themeColor="text1"/>
              </w:rPr>
              <w:t>тыс. руб.</w:t>
            </w:r>
          </w:p>
          <w:p w:rsidR="00585B0C" w:rsidRPr="002C076A" w:rsidRDefault="00585B0C" w:rsidP="00585B0C">
            <w:pPr>
              <w:rPr>
                <w:color w:val="000000" w:themeColor="text1"/>
              </w:rPr>
            </w:pPr>
          </w:p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8 374,1 </w:t>
            </w:r>
            <w:r w:rsidR="00585B0C" w:rsidRPr="002C076A">
              <w:rPr>
                <w:color w:val="000000" w:themeColor="text1"/>
              </w:rPr>
              <w:t>тыс. руб.</w:t>
            </w:r>
          </w:p>
        </w:tc>
      </w:tr>
      <w:tr w:rsidR="00585B0C" w:rsidRPr="002C076A" w:rsidTr="001E38FF">
        <w:trPr>
          <w:trHeight w:val="89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Орган (органы) официальной публикации правовых актов ОМСУ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Газета «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вестник»</w:t>
            </w:r>
          </w:p>
        </w:tc>
      </w:tr>
      <w:tr w:rsidR="00585B0C" w:rsidRPr="002C076A" w:rsidTr="001E38FF">
        <w:trPr>
          <w:trHeight w:val="89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Наличие официального сайта ОМСУ. Его электронный адрес.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Официальный сайт</w:t>
            </w:r>
          </w:p>
          <w:p w:rsidR="00585B0C" w:rsidRPr="002C076A" w:rsidRDefault="003208F2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https://tosno.online</w:t>
            </w:r>
          </w:p>
        </w:tc>
      </w:tr>
      <w:tr w:rsidR="00585B0C" w:rsidRPr="002C076A" w:rsidTr="001E38FF">
        <w:trPr>
          <w:trHeight w:val="89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Нормативно-правовой акт об утверждении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Утвержден распоряжением администрации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 от 21.03.2014 № 67-ра «О показателях оценки эффективности деятельности органов местного самоуправления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области» (с изменениями)</w:t>
            </w:r>
          </w:p>
        </w:tc>
      </w:tr>
    </w:tbl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822AC9" w:rsidRPr="002C076A" w:rsidRDefault="00822AC9" w:rsidP="00585B0C">
      <w:pPr>
        <w:rPr>
          <w:b/>
          <w:bCs/>
          <w:color w:val="000000" w:themeColor="text1"/>
          <w:sz w:val="28"/>
          <w:szCs w:val="28"/>
        </w:rPr>
      </w:pPr>
    </w:p>
    <w:p w:rsidR="00822AC9" w:rsidRPr="002C076A" w:rsidRDefault="00822AC9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</w:rPr>
        <w:lastRenderedPageBreak/>
        <w:t>Состояние муниципального образования</w:t>
      </w:r>
    </w:p>
    <w:p w:rsidR="00585B0C" w:rsidRPr="002C076A" w:rsidRDefault="00585B0C" w:rsidP="00585B0C">
      <w:pPr>
        <w:ind w:left="-180" w:firstLine="18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2C076A">
        <w:rPr>
          <w:b/>
          <w:bCs/>
          <w:color w:val="000000" w:themeColor="text1"/>
          <w:sz w:val="28"/>
          <w:szCs w:val="28"/>
        </w:rPr>
        <w:t>Тосненский</w:t>
      </w:r>
      <w:proofErr w:type="spellEnd"/>
      <w:r w:rsidRPr="002C076A">
        <w:rPr>
          <w:b/>
          <w:bCs/>
          <w:color w:val="000000" w:themeColor="text1"/>
          <w:sz w:val="28"/>
          <w:szCs w:val="28"/>
        </w:rPr>
        <w:t xml:space="preserve"> муниципальный район Ленинградской области</w:t>
      </w:r>
    </w:p>
    <w:p w:rsidR="00585B0C" w:rsidRPr="002C076A" w:rsidRDefault="00585B0C" w:rsidP="00585B0C">
      <w:pPr>
        <w:ind w:left="-180" w:firstLine="180"/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</w:rPr>
        <w:t>в отчётном году, динамика развития в сравнении с предыдущим годом и прогноз на 3-летний период</w:t>
      </w:r>
    </w:p>
    <w:p w:rsidR="00585B0C" w:rsidRPr="002C076A" w:rsidRDefault="00585B0C" w:rsidP="00585B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eastAsia="Times New Roman"/>
          <w:bCs/>
          <w:color w:val="000000" w:themeColor="text1"/>
          <w:shd w:val="clear" w:color="auto" w:fill="FFFFFF"/>
        </w:rPr>
      </w:pPr>
    </w:p>
    <w:p w:rsidR="006B4070" w:rsidRPr="002C076A" w:rsidRDefault="006B4070" w:rsidP="006B4070">
      <w:pPr>
        <w:ind w:firstLine="709"/>
        <w:jc w:val="both"/>
        <w:rPr>
          <w:rFonts w:eastAsia="Times New Roman"/>
          <w:color w:val="000000" w:themeColor="text1"/>
          <w:lang w:eastAsia="en-US"/>
        </w:rPr>
      </w:pP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муниципальный район (далее –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район) является одним из крупных районов Ленинградской области и занимает 8-ое место по площади территории. Административным центром района является город Тосно, находящийся в 55 км от Санкт-Петербурга. В состав района входят три города – Тосно (районный центр), Любань и Никольское, а также более 100 населенных пунктов (поселков, сел и деревень).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район и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Тосненское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городское поселение имеют удобное географическое положение в центральной части Ленинградской области, в створе интенсивно развивающегося международного транспортного коридора № 9 (по его территории проходят железнодорожная и автомобильные магистрали Санкт-Петербург – Москва М-10 и скоростная М-11). По территории района протекает река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Тосна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и ее притоки, много озер и небольших речушек, расположены: шедевр архитектурного зодчества XVIII–XIX веков - Усадьба «Марьино», Музей природы и истории российского лесоводства и региональный комплексный заказник в п.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Лисино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-Корпус, сформированы межрегиональные проекты - туристских маршрутов «Государева дорога» и «По местам Александра Невского». Одним из самых знаменитых памятников природы являются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Саблинские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пещеры. Площадь заповедной зоны более 220 га, на территории находятся 2 водопада, каньоны рек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Саблинка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и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Тосна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с обнажениями кембрийских и ордовикских пород, более 10 расчищенных пещер.</w:t>
      </w:r>
    </w:p>
    <w:p w:rsidR="00585B0C" w:rsidRPr="002C076A" w:rsidRDefault="006B4070" w:rsidP="0017236C">
      <w:pPr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2C076A">
        <w:rPr>
          <w:rFonts w:eastAsia="Times New Roman"/>
          <w:color w:val="000000" w:themeColor="text1"/>
          <w:lang w:eastAsia="en-US"/>
        </w:rPr>
        <w:t>Современное административно-территориальное деление район приобрел в 2006 году. В настоящее время в составе района 8 городских поселений и 5 сельских.</w:t>
      </w:r>
      <w:r w:rsidR="0017236C" w:rsidRPr="002C076A">
        <w:rPr>
          <w:rFonts w:eastAsia="Times New Roman"/>
          <w:color w:val="000000" w:themeColor="text1"/>
          <w:lang w:eastAsia="en-US"/>
        </w:rPr>
        <w:t xml:space="preserve"> </w:t>
      </w:r>
      <w:r w:rsidR="00585B0C" w:rsidRPr="002C076A">
        <w:rPr>
          <w:color w:val="000000" w:themeColor="text1"/>
        </w:rPr>
        <w:t xml:space="preserve">Численность населения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на 01.01.2023</w:t>
      </w:r>
      <w:r w:rsidR="00585B0C" w:rsidRPr="002C076A">
        <w:rPr>
          <w:color w:val="000000" w:themeColor="text1"/>
        </w:rPr>
        <w:t xml:space="preserve"> составляет </w:t>
      </w:r>
      <w:r w:rsidR="003B057F" w:rsidRPr="002C076A">
        <w:rPr>
          <w:color w:val="000000" w:themeColor="text1"/>
        </w:rPr>
        <w:t>133,1 тыс.</w:t>
      </w:r>
      <w:r w:rsidR="00585B0C" w:rsidRPr="002C076A">
        <w:rPr>
          <w:color w:val="000000" w:themeColor="text1"/>
        </w:rPr>
        <w:t xml:space="preserve"> человек. 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вместе со всей Ленинградской областью идёт по пути социально-экономического развития.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Район сохраняет свои позиции в рейтинге лучших районов Ленинградской области в результате ежеквартального мониторинга результативности деятельности глав администраций муниципальных районов и городского округа Ленинградской области по итогам 2022 года - стабильно входит в первую шестёрку на протяжении трёх лет (из 17 муниципальных районов и городского округа).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Главным в деятельности органов местного самоуправления было и остается повыше</w:t>
      </w:r>
      <w:r w:rsidR="0017236C" w:rsidRPr="002C076A">
        <w:rPr>
          <w:color w:val="000000" w:themeColor="text1"/>
        </w:rPr>
        <w:t xml:space="preserve">ние уровня жизни граждан в </w:t>
      </w:r>
      <w:proofErr w:type="spellStart"/>
      <w:r w:rsidR="0017236C"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районе, через развитие инфраструктуры, привлечение инвестиций, строительство социальных объектов, поступательное движение вперед в социально-экономическом развитии территории.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С учётом текущей ситуации необходимо максимально удержать сложившиеся экономические процессы, находить возможные пути развития, чтобы ускорить динамику развития позитивных процессов в нем. Важно сделать район привлекательным для работы и жизни во всех сферах. Чтобы в каждом поселении развивалось образование, здравоохранение, спорт, создавались новые рабочие места, росли собственные доходы.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продолжилась эффективная реализация национальных и федеральных проектов, что является приоритетным направлением и наглядностью работы муниципалитетов.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целом проделана огромная работа, и созданы все условия для её продолжения. 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Благодаря усилиям администраций района и поселений, коллективов предприятий и организаций, жителей сделано очень много.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Практически, по всем жизненно важным для населения района темам, мы находили взаимопонимание. Продуктивно решали возникающие вопросы. Большинство намеченных задач были выполнены. Безусловно, остались и проблемы, над которыми нам еще предстоит серьезно работать.</w:t>
      </w:r>
    </w:p>
    <w:p w:rsidR="0086361C" w:rsidRPr="002C076A" w:rsidRDefault="0086361C" w:rsidP="0086361C">
      <w:pPr>
        <w:jc w:val="both"/>
        <w:rPr>
          <w:color w:val="000000" w:themeColor="text1"/>
        </w:rPr>
      </w:pP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 xml:space="preserve">2022 год стал для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годом плодотворной работы благодаря совместному, слаженному двустороннему контакту власти и общества, серьезной государственной поддержке Губернатора Ленинградской области Александра Юрьевича Дрозденко и Правительства Ленинградской области.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Прошедший 2022 год - Год #Команды47 в Ленинградской области по своей кульминации был абсолютно оправданным. Ведь именно консолидация общества является одним из ключевых, базовых условий для развития. И сегодня как никогда мы должны сплотиться и быть единым целым. 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2023 год – Год Команды Знаний в регионе, объявленный Губернатором Ленинградской области Александром Юрьевичем Дрозденко, который исходит из объявленного в России Года педагога и наставника становится логичным продолжением 2022 – Года Команды 47.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Важность совместной работы при активизации просветительской деятельности отмечает Губернатор Ленинградской области Дрозденко А.Ю. «Нам всем есть чем из опыта и умений поделиться друг с другом, а учиться тем более никогда не поздно. Вот почему новые задачи #команда47 касаются каждого», – подчеркивает Губернатор Ленинградской области.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настоящее время одна из главных задач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– обеспечить в 2023 году на территории города Тосно празднование 96-ой годовщины образования Ленинградской области. Праздничные мероприятия будут объединены темой знаний, образования и наставничества. Планируется, что официальную программу празднования посетит не менее 1,5 тыс. почетных гостей. Органы местного самоуправления всех уровней будут активно участвовать в мероприятии.</w:t>
      </w:r>
    </w:p>
    <w:p w:rsidR="006B4070" w:rsidRPr="002C076A" w:rsidRDefault="006B4070" w:rsidP="0017236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2022 год был нелегким и полон событий. Несмотря на трудности и давление, с которыми столкнулась страна, нам все </w:t>
      </w:r>
      <w:r w:rsidR="0017236C" w:rsidRPr="002C076A">
        <w:rPr>
          <w:color w:val="000000" w:themeColor="text1"/>
        </w:rPr>
        <w:t>же удается двигаться вперед</w:t>
      </w:r>
      <w:r w:rsidRPr="002C076A">
        <w:rPr>
          <w:color w:val="000000" w:themeColor="text1"/>
        </w:rPr>
        <w:t>.</w:t>
      </w:r>
    </w:p>
    <w:p w:rsidR="0017236C" w:rsidRPr="002C076A" w:rsidRDefault="0017236C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В районе создан благоприятный инвестиционный и предпринимательский климат, много внимания уделяется развитию физической культуры и спорта, медицинскому обслуживанию и социальной защите населения, воспитанию и обучению подрастающего поколения, что способствует попаданию в топ-10 лучших районов Ленобласти для проживания.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</w:p>
    <w:p w:rsidR="00585B0C" w:rsidRPr="002C076A" w:rsidRDefault="00585B0C" w:rsidP="00585B0C">
      <w:pPr>
        <w:ind w:firstLine="709"/>
        <w:jc w:val="both"/>
        <w:rPr>
          <w:color w:val="000000" w:themeColor="text1"/>
          <w:lang w:eastAsia="en-US"/>
        </w:rPr>
      </w:pPr>
    </w:p>
    <w:p w:rsidR="008B113B" w:rsidRPr="002C076A" w:rsidRDefault="008B113B" w:rsidP="00585B0C">
      <w:pPr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585B0C" w:rsidRPr="002C076A" w:rsidRDefault="00585B0C" w:rsidP="00585B0C">
      <w:pPr>
        <w:numPr>
          <w:ilvl w:val="0"/>
          <w:numId w:val="9"/>
        </w:numPr>
        <w:spacing w:after="200"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</w:pPr>
      <w:r w:rsidRPr="002C076A"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  <w:t>Экономическое развитие</w:t>
      </w:r>
    </w:p>
    <w:p w:rsidR="00585B0C" w:rsidRPr="002C076A" w:rsidRDefault="00E40679" w:rsidP="00585B0C">
      <w:pPr>
        <w:rPr>
          <w:b/>
          <w:color w:val="000000" w:themeColor="text1"/>
          <w:sz w:val="28"/>
          <w:szCs w:val="28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Число субъектов малого и среднего предпринимательства в расчете на 10 тыс. человек населения</w:t>
      </w:r>
    </w:p>
    <w:p w:rsidR="00E40679" w:rsidRPr="002C076A" w:rsidRDefault="00E40679" w:rsidP="00E40679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Ленинградской области за период 2020, 2021, 2022 годов наблюдается тенденция роста числа субъектов малого и среднего предпринимательства.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423"/>
        <w:gridCol w:w="2410"/>
        <w:gridCol w:w="2261"/>
      </w:tblGrid>
      <w:tr w:rsidR="00927EA3" w:rsidRPr="002C076A" w:rsidTr="00E4067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Наименование района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Количество субъектов МСП на 10.01.2021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Количество субъектов МСП на 10.01.2022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Количество субъектов</w:t>
            </w:r>
          </w:p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МСП на 10.01.2023</w:t>
            </w:r>
          </w:p>
        </w:tc>
      </w:tr>
      <w:tr w:rsidR="00927EA3" w:rsidRPr="002C076A" w:rsidTr="00E40679">
        <w:trPr>
          <w:trHeight w:val="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Тосненский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4013 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4 241 ед.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  402 ед.</w:t>
            </w:r>
          </w:p>
        </w:tc>
      </w:tr>
    </w:tbl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</w:t>
      </w:r>
      <w:r w:rsidRPr="002C076A">
        <w:rPr>
          <w:rFonts w:eastAsia="Times New Roman"/>
          <w:color w:val="000000" w:themeColor="text1"/>
        </w:rPr>
        <w:tab/>
        <w:t xml:space="preserve">Количество субъектов малого и среднего предпринимательства на 10 тыс. человек населения за 2022 год составило – 330,71, что ниже расчетного показателя за 2021 год – 351,27.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</w:t>
      </w:r>
      <w:r w:rsidRPr="002C076A">
        <w:rPr>
          <w:rFonts w:eastAsia="Times New Roman"/>
          <w:color w:val="000000" w:themeColor="text1"/>
        </w:rPr>
        <w:tab/>
        <w:t xml:space="preserve">Показатель рассчитывается как отношение количество субъектов малого и среднего предпринимательства к численности постоянного населения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области: 4 402/133109*10000= 330,71  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lastRenderedPageBreak/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Снижение показателя обусловлено увеличением численности постоянного населения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</w:p>
    <w:tbl>
      <w:tblPr>
        <w:tblW w:w="93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2485"/>
        <w:gridCol w:w="2386"/>
        <w:gridCol w:w="2436"/>
      </w:tblGrid>
      <w:tr w:rsidR="00927EA3" w:rsidRPr="002C076A" w:rsidTr="00E40679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Наименование района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по состоянию на 01.01.2021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по состоянию на 01.01.2022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по состоянию на 01.01.2023</w:t>
            </w:r>
          </w:p>
        </w:tc>
      </w:tr>
      <w:tr w:rsidR="00927EA3" w:rsidRPr="002C076A" w:rsidTr="00E40679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Тосненский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123 557 чел.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120 734 чел.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133 109 чел.</w:t>
            </w:r>
          </w:p>
        </w:tc>
      </w:tr>
    </w:tbl>
    <w:p w:rsidR="00E40679" w:rsidRPr="002C076A" w:rsidRDefault="00E40679" w:rsidP="00E40679">
      <w:pPr>
        <w:jc w:val="both"/>
        <w:rPr>
          <w:rFonts w:eastAsia="Times New Roman"/>
          <w:color w:val="000000" w:themeColor="text1"/>
          <w:lang w:val="en-US"/>
        </w:rPr>
      </w:pPr>
      <w:r w:rsidRPr="002C076A">
        <w:rPr>
          <w:rFonts w:eastAsia="Times New Roman"/>
          <w:color w:val="000000" w:themeColor="text1"/>
        </w:rPr>
        <w:t xml:space="preserve">       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</w:t>
      </w:r>
      <w:r w:rsidRPr="002C076A">
        <w:rPr>
          <w:rFonts w:eastAsia="Times New Roman"/>
          <w:color w:val="000000" w:themeColor="text1"/>
        </w:rPr>
        <w:tab/>
        <w:t xml:space="preserve">Содействие развитию малого и среднего предпринимательства на территории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 оказывается в рамках подпрограммы "Развитие малого, среднего предпринимательства и потребительского рынка Ленинградской области "Стимулирование экономической активности Ленинградской области" и муниципальных программ поселений и района по развитию малого и среднего предпринимательства.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Общий объем финансирования муниципальной программы "Развитие и поддержка малого и среднего предпринимательства на территории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 на 2019-2025 годы" (далее - муниципальная программа) составляет более 15 млн. рублей.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На территории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 создана и осуществляет свою деятельность организация инфраструктуры поддержки субъектов малого и среднего предпринимательства Фонд "Муниципальный центр поддержки предпринимательства" (далее - Фонд).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Фондом в течение 2022 года субъектам малого и среднего предпринимательства оказано более 1800 безвозмездных консультационных услуг. Данная поддержка оказывается в рамках мероприятий муниципальной программы, которая предусматривает и иные формы поддержки субъектам малого и среднего предпринимательства: финансовая, имущественная, информационная.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  <w:sz w:val="28"/>
        </w:rPr>
      </w:pPr>
    </w:p>
    <w:p w:rsidR="00E40679" w:rsidRPr="002C076A" w:rsidRDefault="00E40679" w:rsidP="00E40679">
      <w:pPr>
        <w:jc w:val="both"/>
        <w:rPr>
          <w:rFonts w:eastAsia="Times New Roman"/>
          <w:b/>
          <w:i/>
          <w:color w:val="000000" w:themeColor="text1"/>
          <w:sz w:val="28"/>
          <w:u w:val="single"/>
        </w:rPr>
      </w:pPr>
      <w:r w:rsidRPr="002C076A">
        <w:rPr>
          <w:rFonts w:eastAsia="Times New Roman"/>
          <w:b/>
          <w:i/>
          <w:color w:val="000000" w:themeColor="text1"/>
          <w:sz w:val="28"/>
          <w:u w:val="single"/>
        </w:rPr>
        <w:t>Показатель 2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E40679" w:rsidRPr="002C076A" w:rsidRDefault="00E40679" w:rsidP="00E40679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Для расчета показателя используются данные о численности занятых в сфере малого, среднего предпринимательства, предоставленные Управлением ФНС России и Ленинградской области, а также информация о среднесписочной численности работников по организациям Ленинградской области, не относящимся к субъектам малого предпринимательства за 2022 год по данным </w:t>
      </w:r>
      <w:proofErr w:type="spellStart"/>
      <w:r w:rsidRPr="002C076A">
        <w:rPr>
          <w:rFonts w:eastAsia="Times New Roman"/>
          <w:color w:val="000000" w:themeColor="text1"/>
        </w:rPr>
        <w:t>Петростата</w:t>
      </w:r>
      <w:proofErr w:type="spellEnd"/>
      <w:r w:rsidRPr="002C076A">
        <w:rPr>
          <w:rFonts w:eastAsia="Times New Roman"/>
          <w:color w:val="000000" w:themeColor="text1"/>
        </w:rPr>
        <w:t>.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</w:t>
      </w:r>
      <w:r w:rsidRPr="002C076A">
        <w:rPr>
          <w:rFonts w:eastAsia="Times New Roman"/>
          <w:color w:val="000000" w:themeColor="text1"/>
        </w:rPr>
        <w:tab/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2022 году составила 43,57%, в 2021 - 44,09%. По сравнению с 2021 годом показатель снизился на 0,52%.        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  </w:t>
      </w:r>
      <w:r w:rsidRPr="002C076A">
        <w:rPr>
          <w:rFonts w:eastAsia="Times New Roman"/>
          <w:color w:val="000000" w:themeColor="text1"/>
        </w:rPr>
        <w:tab/>
        <w:t xml:space="preserve">Снижение показателя обусловлено более динамичным развитием крупных предприятий 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Ленинградской области.</w:t>
      </w:r>
    </w:p>
    <w:p w:rsidR="00585B0C" w:rsidRPr="002C076A" w:rsidRDefault="00585B0C" w:rsidP="00AE5938">
      <w:pPr>
        <w:rPr>
          <w:color w:val="000000" w:themeColor="text1"/>
          <w:highlight w:val="yellow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Объем инвестиций в основной капитал (за исключением бюджетных средств) в расчете на 1 жителя</w:t>
      </w:r>
    </w:p>
    <w:p w:rsidR="008E27A2" w:rsidRPr="002C076A" w:rsidRDefault="008E27A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муниципальном образовании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активно осуществляется инвестиционная деятельность. Район обладает дополнительными благоприятными условиями: непосредственная близость к Санкт-Петербургу, прохождение </w:t>
      </w:r>
      <w:r w:rsidRPr="002C076A">
        <w:rPr>
          <w:color w:val="000000" w:themeColor="text1"/>
        </w:rPr>
        <w:lastRenderedPageBreak/>
        <w:t>через муниципальный район трасс «М 10» и «М 11», наличие действующих и развивающихся инвестиционных площадок: промышленно-логистический комплекс «Индустриальный парк» «Федоровское», западная производственно-складская зона «</w:t>
      </w:r>
      <w:proofErr w:type="spellStart"/>
      <w:r w:rsidRPr="002C076A">
        <w:rPr>
          <w:color w:val="000000" w:themeColor="text1"/>
        </w:rPr>
        <w:t>Красноборская</w:t>
      </w:r>
      <w:proofErr w:type="spellEnd"/>
      <w:r w:rsidRPr="002C076A">
        <w:rPr>
          <w:color w:val="000000" w:themeColor="text1"/>
        </w:rPr>
        <w:t>», индустриальный парк «М 10».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официальным данным статистики, полученным в 1 квартале 2023 года, объем инвестиций, направленных в экономику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за 2022 год (инвестиции предприятий и организаций в основной капитал по крупным и средним организациям-инвесторам, не относящимся к субъектам малого предпринимательства), составил 13 922,29 млн. руб., что соответствует 124% от объема инвестиций аналогичного периода прошлого года. Частично источниками финансирования являются собственные средства предприятий – 30,5% от общего объема инвестиций, что составляет 4 249,42 млн. руб. Доля привлеченных средств – 69,5%, что составляет 9 672,87 млн. руб.</w:t>
      </w:r>
    </w:p>
    <w:p w:rsidR="008E27A2" w:rsidRPr="002C076A" w:rsidRDefault="008E27A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результатам проведенного анализа показателя по объему инвестиций в основной капитал по организациям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за 2022 год выявлены несоответствия данных, представленных в форме отчетности № П-2 (</w:t>
      </w:r>
      <w:proofErr w:type="spellStart"/>
      <w:r w:rsidRPr="002C076A">
        <w:rPr>
          <w:color w:val="000000" w:themeColor="text1"/>
        </w:rPr>
        <w:t>инвест</w:t>
      </w:r>
      <w:proofErr w:type="spellEnd"/>
      <w:r w:rsidRPr="002C076A">
        <w:rPr>
          <w:color w:val="000000" w:themeColor="text1"/>
        </w:rPr>
        <w:t xml:space="preserve">) «Сведения об инвестиционной деятельности» и мониторинга реализации инвестиционных проектов, реализуемых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Ленинградской области, в частности не учтены инвестиции по инвестиционному проекту АО «Племенная птицефабрика «</w:t>
      </w:r>
      <w:proofErr w:type="spellStart"/>
      <w:r w:rsidRPr="002C076A">
        <w:rPr>
          <w:color w:val="000000" w:themeColor="text1"/>
        </w:rPr>
        <w:t>Войсковицы</w:t>
      </w:r>
      <w:proofErr w:type="spellEnd"/>
      <w:r w:rsidRPr="002C076A">
        <w:rPr>
          <w:color w:val="000000" w:themeColor="text1"/>
        </w:rPr>
        <w:t>» (общая сумма инвестиций по проекту нарастающим итогом составляет 6,2 млрд. руб.).</w:t>
      </w:r>
    </w:p>
    <w:p w:rsidR="008E27A2" w:rsidRPr="002C076A" w:rsidRDefault="008E27A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 официальным данным статистики, в соответствии с группировкой предприятий согласно Общероссийскому классификатору видов экономической деятельности (ОКВЭД-2), наибольший удельный вес в общем объеме инвестиций приходится на деятельность органов государственного управления по обеспечению военной безопасности, обязательному социальному обеспечению обрабатывающие производства (65%), обрабатывающие производства (9%), торговлю оптовую и розничную (6%), обеспечение электрической энергией, газом и паром, кондиционирование воздуха (4,2%), деятельность по операциям с недвижим имуществом (4%), предприятия сельского хозяйства (3,8%).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Официальная статистическая информация по показателю «объем инвестиций в основной капитал», получаемая от официальных органов </w:t>
      </w:r>
      <w:proofErr w:type="spellStart"/>
      <w:r w:rsidRPr="002C076A">
        <w:rPr>
          <w:color w:val="000000" w:themeColor="text1"/>
        </w:rPr>
        <w:t>Петростата</w:t>
      </w:r>
      <w:proofErr w:type="spellEnd"/>
      <w:r w:rsidRPr="002C076A">
        <w:rPr>
          <w:color w:val="000000" w:themeColor="text1"/>
        </w:rPr>
        <w:t>, подлежит постоянной корректировке, что крайне затрудняет процесс планирования, и в определенной мере, не позволяет объективно оценить динамику выполнения данного показателя.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Прогноз объема инвестиций, направленных в экономику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на 2023 год (52 335,5 рублей в расчете на 1 жителя) и последующие годы основан на намерениях действующих предприятий, планируемых продолжить вложение инвестиций в развитие собственного производства, его модернизацию, а </w:t>
      </w:r>
      <w:proofErr w:type="gramStart"/>
      <w:r w:rsidRPr="002C076A">
        <w:rPr>
          <w:color w:val="000000" w:themeColor="text1"/>
        </w:rPr>
        <w:t>так же</w:t>
      </w:r>
      <w:proofErr w:type="gramEnd"/>
      <w:r w:rsidRPr="002C076A">
        <w:rPr>
          <w:color w:val="000000" w:themeColor="text1"/>
        </w:rPr>
        <w:t xml:space="preserve"> реализации новых инвестиционных проектов.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продолжена реализация основных крупнейших инвестиционных проектов.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Продолжается строительство второй очереди завода по производству фаянсовой сантехники ООО «Рока Рус»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городского поселения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муниципального района Ленинградской области проектной мощностью 900 тыс. изделий в год с возможностью доведения в дальнейшем до 1500 тыс. изделий в год. Предполагаемый объем инвестиций в проект составит 4,5 млрд. рублей Планируемый срок ввода в эксплуатацию объекта капитального строительства: реконструкция административно-бытового комплекса – в настоящий момент проводится монтаж оборудования, также ООО «Рока Рус» проходит процедуру получения заключения о соответствии, производственный корпус – 3 квартал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отчетному году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 Ленинградской области продолжалась реализация инвестиционного проекта по строительству нового автоматизированного производства с использованием роботизированных процессов и цифровым проектированием ЗАО «Компания автоприцепов» (ЗАО «Капри») на территории индустриального парка «М10 «Никольское». Реализация проекта была начата в 2019 году. </w:t>
      </w:r>
      <w:r w:rsidRPr="002C076A">
        <w:rPr>
          <w:color w:val="000000" w:themeColor="text1"/>
        </w:rPr>
        <w:lastRenderedPageBreak/>
        <w:t>Инвестиции в проект составят 1 млрд. рублей. Предприятие будет производить автоприцепы для транспортировки нефтепродуктов, метанолов, химических жидкостей и других специализированных грузов. В настоящее время ожидается поставка, монтаж оборудования и процедура по получению разрешения ввода объекта в эксплуатацию. Планируемый срок открытия – 2-3 квартал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Перспективный инвестиционный проект в области агропромышленного и </w:t>
      </w:r>
      <w:proofErr w:type="spellStart"/>
      <w:r w:rsidRPr="002C076A">
        <w:rPr>
          <w:color w:val="000000" w:themeColor="text1"/>
        </w:rPr>
        <w:t>рыбохозяйственного</w:t>
      </w:r>
      <w:proofErr w:type="spellEnd"/>
      <w:r w:rsidRPr="002C076A">
        <w:rPr>
          <w:color w:val="000000" w:themeColor="text1"/>
        </w:rPr>
        <w:t xml:space="preserve"> комплекса: строительство племенного птицеводческого репродуктора второго порядка для разведения племенной птицы (отделение Любань) АО «Племенная птицефабрика «</w:t>
      </w:r>
      <w:proofErr w:type="spellStart"/>
      <w:r w:rsidRPr="002C076A">
        <w:rPr>
          <w:color w:val="000000" w:themeColor="text1"/>
        </w:rPr>
        <w:t>Войсковицы</w:t>
      </w:r>
      <w:proofErr w:type="spellEnd"/>
      <w:r w:rsidRPr="002C076A">
        <w:rPr>
          <w:color w:val="000000" w:themeColor="text1"/>
        </w:rPr>
        <w:t>», планируемый год ввода в эксплуатацию: 2023, количество рабочих мест – 125, перспективная мощность проекта – 44,4 млн. штук инкубационного яйца в год. Предполагаемый объем инвестиций в проект составляет 6,2 млрд. рублей. Запуск производства осуществлен в феврале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На Петербургском международном экономическом форуме 3 июня 2021 года Губернатором Ленинградской области А.Ю. Дрозденко были подписаны соглашения, реализация которых будет проведена на территории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области. Заключено соглашение в сфере пищевой промышленности с компанией ООО «</w:t>
      </w:r>
      <w:proofErr w:type="spellStart"/>
      <w:r w:rsidRPr="002C076A">
        <w:rPr>
          <w:color w:val="000000" w:themeColor="text1"/>
        </w:rPr>
        <w:t>Питерпром</w:t>
      </w:r>
      <w:proofErr w:type="spellEnd"/>
      <w:r w:rsidRPr="002C076A">
        <w:rPr>
          <w:color w:val="000000" w:themeColor="text1"/>
        </w:rPr>
        <w:t xml:space="preserve"> ПК»: строительство предприятия по производству молочно-белковых смесей и создание складского комплекса на территории индустриального парка «М10»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поселении. Предварительный объем инвестиций в проект должен составить 250 млн. руб., срок реализации – до 2024 года. В настоящее время ведется строительство объекта.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Расширение производства осуществлено ООО «Мясоперерабатывающий завод «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»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поселении: строительство цеха переработки и хранения продукции мощностью 2 900 тонн мяса в месяц. Объем инвестиций в настоящий момент составил – 169 млн. руб., создано 32 рабочих места. Запуск производства осуществлен в феврале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В настоящее время одним из самых инвестиционно-привлекательных территорий района является Федоровское городское поселение, также на территории которого активно ведется малоэтажное строительство.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рамках Петербургского международного экономического форума 2022 подписано Соглашение между Правительством Ленинградской области и Акционерным обществом «Завод художественных красок «Невская палитра» об установлении долгосрочного сотрудничества в целях осуществления взаимодействия по вопросам создания и развития промышленной инфраструктуры Ленинградской области и формирования условий для создания и развития на территории Ленинградской области завода  по производству художественных красок «Невская палитра»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муниципальном районе Ленинградской области, а именно на территории Федоровского городского поселения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АО «Завод художественных красок «Невская Палитра» – завод по производству красок и продукции для художников. Завод основан в 1934 году.  Среди партнеров завода – Государственный Эрмитаж, Государственный Русский музей.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Объем инвестиций по данному проекту составит 2 млрд. рублей, количество создаваемых рабочих мест – 350, предполагаемые сроки начала деятельности – 2025 г.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Также в рамках экономического форума подписано Соглашение между Правительством Ленинградской области, Обществом с ограниченной ответственностью «</w:t>
      </w:r>
      <w:proofErr w:type="spellStart"/>
      <w:r w:rsidRPr="002C076A">
        <w:rPr>
          <w:color w:val="000000" w:themeColor="text1"/>
        </w:rPr>
        <w:t>Ревада</w:t>
      </w:r>
      <w:proofErr w:type="spellEnd"/>
      <w:r w:rsidRPr="002C076A">
        <w:rPr>
          <w:color w:val="000000" w:themeColor="text1"/>
        </w:rPr>
        <w:t>» и Обществом с ограниченной ответственностью «Агентство территориального развития «М10» об установлении долгосрочного сотрудничества в целях осуществления взаимодействия по вопросам создания и развития промышленной инфраструктуры Ленинградской области и формирования условий для создания и развития на территории Ленинградской области «Северо-западного складского комплекса «</w:t>
      </w:r>
      <w:proofErr w:type="spellStart"/>
      <w:r w:rsidRPr="002C076A">
        <w:rPr>
          <w:color w:val="000000" w:themeColor="text1"/>
        </w:rPr>
        <w:t>Ревада</w:t>
      </w:r>
      <w:proofErr w:type="spellEnd"/>
      <w:r w:rsidRPr="002C076A">
        <w:rPr>
          <w:color w:val="000000" w:themeColor="text1"/>
        </w:rPr>
        <w:t xml:space="preserve">» (далее – Проект)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муниципальном районе Ленинградской области, а именно на территории индустриального парка М10 «Пионер»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Подписание Соглашения способствует развитию складской (логистической) отрасли муниципального района, созданию новых рабочих мест и отчислений в бюджет Ленинградской области.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Компания </w:t>
      </w:r>
      <w:proofErr w:type="spellStart"/>
      <w:r w:rsidRPr="002C076A">
        <w:rPr>
          <w:color w:val="000000" w:themeColor="text1"/>
        </w:rPr>
        <w:t>Ревада</w:t>
      </w:r>
      <w:proofErr w:type="spellEnd"/>
      <w:r w:rsidRPr="002C076A">
        <w:rPr>
          <w:color w:val="000000" w:themeColor="text1"/>
        </w:rPr>
        <w:t xml:space="preserve"> осуществляет деятельность с 2006 года. Основная деятельность – поставки сырья для косметической промышленности, бытовой химии и промышленного </w:t>
      </w:r>
      <w:proofErr w:type="spellStart"/>
      <w:r w:rsidRPr="002C076A">
        <w:rPr>
          <w:color w:val="000000" w:themeColor="text1"/>
        </w:rPr>
        <w:t>клининга</w:t>
      </w:r>
      <w:proofErr w:type="spellEnd"/>
      <w:r w:rsidRPr="002C076A">
        <w:rPr>
          <w:color w:val="000000" w:themeColor="text1"/>
        </w:rPr>
        <w:t>, переработки пластмасс и пищевой промышленности.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Проектом предусмотрено строительство комплекса пло</w:t>
      </w:r>
      <w:r w:rsidR="00F5184F" w:rsidRPr="002C076A">
        <w:rPr>
          <w:color w:val="000000" w:themeColor="text1"/>
        </w:rPr>
        <w:t xml:space="preserve">щадью 25 000 </w:t>
      </w:r>
      <w:proofErr w:type="spellStart"/>
      <w:r w:rsidR="00F5184F" w:rsidRPr="002C076A">
        <w:rPr>
          <w:color w:val="000000" w:themeColor="text1"/>
        </w:rPr>
        <w:t>кв.м</w:t>
      </w:r>
      <w:proofErr w:type="spellEnd"/>
      <w:r w:rsidR="00F5184F" w:rsidRPr="002C076A">
        <w:rPr>
          <w:color w:val="000000" w:themeColor="text1"/>
        </w:rPr>
        <w:t>. для хранения</w:t>
      </w:r>
      <w:r w:rsidRPr="002C076A">
        <w:rPr>
          <w:color w:val="000000" w:themeColor="text1"/>
        </w:rPr>
        <w:t xml:space="preserve"> косметической продукции, бытовой химии и решения вопросов логистики специального химического сырья. Объём складируемой продукции – 20 000 тонн. 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Планируется запустить собственное производство. Готовой продукцией станут компоненты для изготовления шампуней, гелей, чистящих средств. Они станут основой для производств бытовой химии ведущих российских предприятий.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Реализацию проекта планируется осуществить в два этапа: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 этап: строительство складского комплекса для хранения веществ повышенного уровня опасности (промышленная химия).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2 этап: строительство комплекса для производства косметических средств и хранения веществ без признаков «опасности».</w:t>
      </w:r>
    </w:p>
    <w:p w:rsidR="008E27A2" w:rsidRPr="002C076A" w:rsidRDefault="00F5184F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Объем инвестиций составит</w:t>
      </w:r>
      <w:r w:rsidR="008E27A2" w:rsidRPr="002C076A">
        <w:rPr>
          <w:color w:val="000000" w:themeColor="text1"/>
        </w:rPr>
        <w:t xml:space="preserve"> 2 млрд. рублей, 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Количество создаваемых рабочих мест – 120.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Предполагаемый срок начала деятельности – 2028 год.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Между администрацией Ульяновского городского поселения и АО «</w:t>
      </w:r>
      <w:proofErr w:type="spellStart"/>
      <w:r w:rsidRPr="002C076A">
        <w:rPr>
          <w:color w:val="000000" w:themeColor="text1"/>
        </w:rPr>
        <w:t>Криогаз</w:t>
      </w:r>
      <w:proofErr w:type="spellEnd"/>
      <w:r w:rsidRPr="002C076A">
        <w:rPr>
          <w:color w:val="000000" w:themeColor="text1"/>
        </w:rPr>
        <w:t xml:space="preserve">» был заключен контракт на аренду земельного участка. На данном участке, находящемся в собственности Ульяновского городского поселения, но в границах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городского поселения АО «</w:t>
      </w:r>
      <w:proofErr w:type="spellStart"/>
      <w:r w:rsidRPr="002C076A">
        <w:rPr>
          <w:color w:val="000000" w:themeColor="text1"/>
        </w:rPr>
        <w:t>Криогаз</w:t>
      </w:r>
      <w:proofErr w:type="spellEnd"/>
      <w:r w:rsidRPr="002C076A">
        <w:rPr>
          <w:color w:val="000000" w:themeColor="text1"/>
        </w:rPr>
        <w:t>» планируется строительство малотоннажного завода по производству сжиженного газа с максимальной мощностью производства до 55 тонн сниженного газа в год, предварительный объем инвестиций – 5 млрд. рублей. Примерный срок реализации: 2024-2026 год – стройка общих сетей и двух очередей, 2027-2029 – сдача ежегодно по две очереди, всего 8 линий. Планируется открыть около 50 рабочих мест. В настоящее время АО «</w:t>
      </w:r>
      <w:proofErr w:type="spellStart"/>
      <w:r w:rsidRPr="002C076A">
        <w:rPr>
          <w:color w:val="000000" w:themeColor="text1"/>
        </w:rPr>
        <w:t>Криогаз</w:t>
      </w:r>
      <w:proofErr w:type="spellEnd"/>
      <w:r w:rsidRPr="002C076A">
        <w:rPr>
          <w:color w:val="000000" w:themeColor="text1"/>
        </w:rPr>
        <w:t>» проводятся проектно-изыскательские работы.</w:t>
      </w:r>
    </w:p>
    <w:p w:rsidR="00585B0C" w:rsidRPr="002C076A" w:rsidRDefault="00585B0C" w:rsidP="00585B0C">
      <w:pPr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center"/>
        <w:rPr>
          <w:rFonts w:eastAsia="Times New Roman"/>
          <w:b/>
          <w:color w:val="000000" w:themeColor="text1"/>
        </w:rPr>
      </w:pPr>
      <w:r w:rsidRPr="002C076A">
        <w:rPr>
          <w:b/>
          <w:color w:val="000000" w:themeColor="text1"/>
        </w:rPr>
        <w:t xml:space="preserve">Таблица для расчета объема инвестиций </w:t>
      </w:r>
      <w:r w:rsidRPr="002C076A">
        <w:rPr>
          <w:rFonts w:eastAsia="Times New Roman"/>
          <w:b/>
          <w:color w:val="000000" w:themeColor="text1"/>
        </w:rPr>
        <w:t xml:space="preserve">основной капитал </w:t>
      </w:r>
    </w:p>
    <w:p w:rsidR="00585B0C" w:rsidRPr="002C076A" w:rsidRDefault="00585B0C" w:rsidP="00585B0C">
      <w:pPr>
        <w:jc w:val="center"/>
        <w:rPr>
          <w:rFonts w:eastAsia="Times New Roman"/>
          <w:b/>
          <w:color w:val="000000" w:themeColor="text1"/>
        </w:rPr>
      </w:pPr>
      <w:r w:rsidRPr="002C076A">
        <w:rPr>
          <w:rFonts w:eastAsia="Times New Roman"/>
          <w:b/>
          <w:color w:val="000000" w:themeColor="text1"/>
        </w:rPr>
        <w:t>(за исключением бюджетных средств) в расчете на 1 жителя</w:t>
      </w:r>
    </w:p>
    <w:p w:rsidR="00585B0C" w:rsidRPr="002C076A" w:rsidRDefault="00585B0C" w:rsidP="00585B0C">
      <w:pPr>
        <w:jc w:val="both"/>
        <w:rPr>
          <w:rFonts w:eastAsia="Times New Roman"/>
          <w:color w:val="000000" w:themeColor="text1"/>
        </w:rPr>
      </w:pPr>
    </w:p>
    <w:tbl>
      <w:tblPr>
        <w:tblW w:w="10531" w:type="dxa"/>
        <w:jc w:val="center"/>
        <w:tblLook w:val="04A0" w:firstRow="1" w:lastRow="0" w:firstColumn="1" w:lastColumn="0" w:noHBand="0" w:noVBand="1"/>
      </w:tblPr>
      <w:tblGrid>
        <w:gridCol w:w="2058"/>
        <w:gridCol w:w="1383"/>
        <w:gridCol w:w="1418"/>
        <w:gridCol w:w="1417"/>
        <w:gridCol w:w="1419"/>
        <w:gridCol w:w="1418"/>
        <w:gridCol w:w="1418"/>
      </w:tblGrid>
      <w:tr w:rsidR="00927EA3" w:rsidRPr="002C076A" w:rsidTr="008977CC">
        <w:trPr>
          <w:trHeight w:val="40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927EA3" w:rsidRPr="002C076A" w:rsidTr="008977CC">
        <w:trPr>
          <w:trHeight w:val="25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Объем инвестиций (</w:t>
            </w: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10 975 154,00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8977C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11 198 065,00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13 922 293,00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14 340 800,00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16 127 000,00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18 226 400,00   </w:t>
            </w:r>
          </w:p>
        </w:tc>
      </w:tr>
      <w:tr w:rsidR="00927EA3" w:rsidRPr="002C076A" w:rsidTr="008977CC">
        <w:trPr>
          <w:trHeight w:val="25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БС (</w:t>
            </w: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4 544 285,00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5 062 464,00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8977CC">
            <w:pPr>
              <w:jc w:val="right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9 535 236,00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7 298 850,00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8 417 043,00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7 857 946,50   </w:t>
            </w:r>
          </w:p>
        </w:tc>
      </w:tr>
      <w:tr w:rsidR="00927EA3" w:rsidRPr="002C076A" w:rsidTr="008977CC">
        <w:trPr>
          <w:trHeight w:val="5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Среднегодовая численность населения (чел.)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125 236,00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122 145,50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134 297,00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134 554,00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ind w:firstLineChars="100" w:firstLine="20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135 910,00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135 740,00</w:t>
            </w:r>
          </w:p>
        </w:tc>
      </w:tr>
      <w:tr w:rsidR="00034E5E" w:rsidRPr="002C076A" w:rsidTr="008977CC">
        <w:trPr>
          <w:trHeight w:val="1046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50 231,90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32 666,83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52 335,49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ind w:firstLineChars="100" w:firstLine="20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56 728,40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76 384,66</w:t>
            </w:r>
          </w:p>
        </w:tc>
      </w:tr>
    </w:tbl>
    <w:p w:rsidR="00585B0C" w:rsidRPr="002C076A" w:rsidRDefault="00585B0C" w:rsidP="00585B0C">
      <w:pPr>
        <w:ind w:firstLine="708"/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4</w:t>
      </w:r>
    </w:p>
    <w:p w:rsidR="00585B0C" w:rsidRPr="002C076A" w:rsidRDefault="00585B0C" w:rsidP="00585B0C">
      <w:pPr>
        <w:ind w:firstLine="708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835DFE" w:rsidRPr="002C076A" w:rsidRDefault="00585B0C" w:rsidP="00835DFE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        </w:t>
      </w:r>
      <w:r w:rsidR="00835DFE" w:rsidRPr="002C076A">
        <w:rPr>
          <w:color w:val="000000" w:themeColor="text1"/>
        </w:rPr>
        <w:t xml:space="preserve">Показатель определяется как отношение площади земельных участков, являющихся объектами налогообложения земельным налогом, к общей площади территории </w:t>
      </w:r>
      <w:r w:rsidR="00835DFE" w:rsidRPr="002C076A">
        <w:rPr>
          <w:color w:val="000000" w:themeColor="text1"/>
        </w:rPr>
        <w:lastRenderedPageBreak/>
        <w:t>муниципального района, подлежащей налогообложению в соответствии с действующим законодательством (указания по заполнению формы федерального статистического наблюдения).</w:t>
      </w:r>
    </w:p>
    <w:p w:rsidR="00835DFE" w:rsidRPr="002C076A" w:rsidRDefault="00835DFE" w:rsidP="00835DFE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       Общая площадь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составляет 360186 га, из которых 298259 га не являются объектом налогообложения (земли лесного фонда – 276711 га, </w:t>
      </w:r>
      <w:proofErr w:type="spellStart"/>
      <w:r w:rsidRPr="002C076A">
        <w:rPr>
          <w:color w:val="000000" w:themeColor="text1"/>
        </w:rPr>
        <w:t>лесоустроенные</w:t>
      </w:r>
      <w:proofErr w:type="spellEnd"/>
      <w:r w:rsidRPr="002C076A">
        <w:rPr>
          <w:color w:val="000000" w:themeColor="text1"/>
        </w:rPr>
        <w:t xml:space="preserve"> земли из состава земель сельскохозяйственного назначения – 13631 га, земли водного фонда, обороны и безопасности, общего пользования в границах населенных пунктов и прочие – 7917 га). Итого площадь территории, подлежащая налогообложению, составляет 61927 га. Площадь земельных участков, поставленных на кадастровый учет, и на которые начислялся земельный налог в 2022 году составила 55734 га (90%). В последующие годы ожидается рост показателя по 1 - 2 % в год за счет надлежащего оформления земельных участков сельскохозяйственного назначения сельскохозяйственными предприятиями и фермерскими хозяйствами, введения в хозяйственный оборот земель фонда перераспределения, развития территорий населенных пунктов, оформления земельных участков под существующими объектами гражданами и юридическими лицами (около 2000 га в год).</w:t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5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прибыльных сельскохозяйственных организаций в общем их числе</w:t>
      </w:r>
    </w:p>
    <w:p w:rsidR="00E17D4C" w:rsidRPr="002C076A" w:rsidRDefault="00E17D4C" w:rsidP="0079074E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Показатель рассчитан в соответствии с методическими рекомендациями в процентах от общего количества сельхозпредприятий</w:t>
      </w:r>
      <w:r w:rsidR="00704EED" w:rsidRPr="002C076A">
        <w:rPr>
          <w:rFonts w:eastAsia="Times New Roman"/>
          <w:color w:val="000000" w:themeColor="text1"/>
        </w:rPr>
        <w:t>,</w:t>
      </w:r>
      <w:r w:rsidRPr="002C076A">
        <w:rPr>
          <w:rFonts w:eastAsia="Times New Roman"/>
          <w:color w:val="000000" w:themeColor="text1"/>
        </w:rPr>
        <w:t xml:space="preserve"> получающих субсидии из бюджетов всех уровней.</w:t>
      </w:r>
    </w:p>
    <w:p w:rsidR="00E17D4C" w:rsidRPr="002C076A" w:rsidRDefault="00E17D4C" w:rsidP="0079074E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Согласно годовой финансовой отчетности за 2022 год из 8 предприятий</w:t>
      </w:r>
      <w:r w:rsidR="0079074E" w:rsidRPr="002C076A">
        <w:rPr>
          <w:rFonts w:eastAsia="Times New Roman"/>
          <w:color w:val="000000" w:themeColor="text1"/>
        </w:rPr>
        <w:t>,</w:t>
      </w:r>
      <w:r w:rsidRPr="002C076A">
        <w:rPr>
          <w:rFonts w:eastAsia="Times New Roman"/>
          <w:color w:val="000000" w:themeColor="text1"/>
        </w:rPr>
        <w:t xml:space="preserve"> предоставивших отчетность и получивших господдержку</w:t>
      </w:r>
      <w:r w:rsidR="0079074E" w:rsidRPr="002C076A">
        <w:rPr>
          <w:rFonts w:eastAsia="Times New Roman"/>
          <w:color w:val="000000" w:themeColor="text1"/>
        </w:rPr>
        <w:t>,</w:t>
      </w:r>
      <w:r w:rsidRPr="002C076A">
        <w:rPr>
          <w:rFonts w:eastAsia="Times New Roman"/>
          <w:color w:val="000000" w:themeColor="text1"/>
        </w:rPr>
        <w:t xml:space="preserve"> все предприятия показали прибыль. </w:t>
      </w:r>
    </w:p>
    <w:p w:rsidR="00E17D4C" w:rsidRPr="002C076A" w:rsidRDefault="00E17D4C" w:rsidP="0079074E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Период 2023-2025 годов планируется на уровне 2022 года.</w:t>
      </w:r>
    </w:p>
    <w:p w:rsidR="0079074E" w:rsidRPr="002C076A" w:rsidRDefault="0079074E" w:rsidP="0079074E">
      <w:pPr>
        <w:ind w:firstLine="708"/>
        <w:jc w:val="both"/>
        <w:rPr>
          <w:rFonts w:eastAsia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064"/>
        <w:gridCol w:w="1807"/>
        <w:gridCol w:w="1934"/>
        <w:gridCol w:w="1644"/>
      </w:tblGrid>
      <w:tr w:rsidR="00265B07" w:rsidRPr="002C076A" w:rsidTr="00043E7A"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79074E" w:rsidRPr="002C076A" w:rsidRDefault="0079074E" w:rsidP="00043E7A">
            <w:pPr>
              <w:jc w:val="both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9" w:type="dxa"/>
            <w:gridSpan w:val="4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По организациям, являющимся получателями господдержки </w:t>
            </w:r>
          </w:p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в 2022 году</w:t>
            </w:r>
          </w:p>
        </w:tc>
      </w:tr>
      <w:tr w:rsidR="00265B07" w:rsidRPr="002C076A" w:rsidTr="00043E7A">
        <w:trPr>
          <w:jc w:val="center"/>
        </w:trPr>
        <w:tc>
          <w:tcPr>
            <w:tcW w:w="1951" w:type="dxa"/>
            <w:shd w:val="clear" w:color="auto" w:fill="auto"/>
          </w:tcPr>
          <w:p w:rsidR="0079074E" w:rsidRPr="002C076A" w:rsidRDefault="0079074E" w:rsidP="00043E7A">
            <w:pPr>
              <w:jc w:val="both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Всего организаций</w:t>
            </w:r>
          </w:p>
        </w:tc>
        <w:tc>
          <w:tcPr>
            <w:tcW w:w="1843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Кол-во прибыльных организаций</w:t>
            </w:r>
          </w:p>
        </w:tc>
        <w:tc>
          <w:tcPr>
            <w:tcW w:w="1982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% прибыльных</w:t>
            </w:r>
          </w:p>
        </w:tc>
        <w:tc>
          <w:tcPr>
            <w:tcW w:w="1668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Кол-во убыточных организаций</w:t>
            </w:r>
          </w:p>
        </w:tc>
      </w:tr>
      <w:tr w:rsidR="0079074E" w:rsidRPr="002C076A" w:rsidTr="00043E7A">
        <w:trPr>
          <w:jc w:val="center"/>
        </w:trPr>
        <w:tc>
          <w:tcPr>
            <w:tcW w:w="1951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Тосненский</w:t>
            </w:r>
            <w:proofErr w:type="spellEnd"/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68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</w:tbl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6</w:t>
      </w:r>
    </w:p>
    <w:p w:rsidR="00585B0C" w:rsidRPr="002C076A" w:rsidRDefault="00585B0C" w:rsidP="00A42D33">
      <w:pPr>
        <w:ind w:firstLine="708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предоставлена в соответствии с отчетом федерального статистического наблюдения по форме № 3-ДГ </w:t>
      </w:r>
      <w:r w:rsidR="008079D9" w:rsidRPr="002C076A">
        <w:rPr>
          <w:rFonts w:eastAsiaTheme="minorHAnsi"/>
          <w:color w:val="000000" w:themeColor="text1"/>
          <w:lang w:eastAsia="en-US"/>
        </w:rPr>
        <w:t>(МО</w:t>
      </w:r>
      <w:r w:rsidRPr="002C076A">
        <w:rPr>
          <w:rFonts w:eastAsiaTheme="minorHAnsi"/>
          <w:color w:val="000000" w:themeColor="text1"/>
          <w:lang w:eastAsia="en-US"/>
        </w:rPr>
        <w:t xml:space="preserve">) Сведения об автомобильных дорогах общего пользования местного значения и искусственных сооружений на них по состоянию на 1 января 2023 года. 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Показатель определяется как отношение протяженности автомобильных дорог общего пользования местного значения, не отвечающим нормативным требованиям, к общей протяженности автомобильных дорог общего пользования местного значения и умножением результата на 100 процентов.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 xml:space="preserve">В 2022 году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составил </w:t>
      </w:r>
      <w:r w:rsidR="004946E0" w:rsidRPr="002C076A">
        <w:rPr>
          <w:rFonts w:eastAsiaTheme="minorHAnsi"/>
          <w:color w:val="000000" w:themeColor="text1"/>
          <w:lang w:eastAsia="en-US"/>
        </w:rPr>
        <w:t>60,8</w:t>
      </w:r>
      <w:r w:rsidRPr="002C076A">
        <w:rPr>
          <w:rFonts w:eastAsiaTheme="minorHAnsi"/>
          <w:color w:val="000000" w:themeColor="text1"/>
          <w:lang w:eastAsia="en-US"/>
        </w:rPr>
        <w:t xml:space="preserve">8%. 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lastRenderedPageBreak/>
        <w:t>Протяженности автомобильных дорог общего пользования местного значения, не отвечающим нормативным требованиям на 01.01.</w:t>
      </w:r>
      <w:r w:rsidR="00845BFB" w:rsidRPr="002C076A">
        <w:rPr>
          <w:rFonts w:eastAsiaTheme="minorHAnsi"/>
          <w:color w:val="000000" w:themeColor="text1"/>
          <w:lang w:eastAsia="en-US"/>
        </w:rPr>
        <w:t xml:space="preserve">2023 г., составила - </w:t>
      </w:r>
      <w:r w:rsidR="004946E0" w:rsidRPr="002C076A">
        <w:rPr>
          <w:rFonts w:eastAsiaTheme="minorHAnsi"/>
          <w:color w:val="000000" w:themeColor="text1"/>
          <w:lang w:eastAsia="en-US"/>
        </w:rPr>
        <w:t>400,5 км.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Протяженность автомобильных дорог общего пользования местного значения на 01.01.2023 г., составила –</w:t>
      </w:r>
      <w:r w:rsidR="00A4020A" w:rsidRPr="002C076A">
        <w:rPr>
          <w:rFonts w:eastAsiaTheme="minorHAnsi"/>
          <w:color w:val="000000" w:themeColor="text1"/>
          <w:lang w:eastAsia="en-US"/>
        </w:rPr>
        <w:t xml:space="preserve"> </w:t>
      </w:r>
      <w:r w:rsidR="004946E0" w:rsidRPr="002C076A">
        <w:rPr>
          <w:rFonts w:eastAsiaTheme="minorHAnsi"/>
          <w:color w:val="000000" w:themeColor="text1"/>
          <w:lang w:eastAsia="en-US"/>
        </w:rPr>
        <w:t>657,8 км.</w:t>
      </w:r>
    </w:p>
    <w:p w:rsidR="004946E0" w:rsidRPr="002C076A" w:rsidRDefault="004946E0" w:rsidP="004946E0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Показатель 6: 400,5 км/657,8 км*100%=60,88%.</w:t>
      </w:r>
    </w:p>
    <w:p w:rsidR="004946E0" w:rsidRPr="002C076A" w:rsidRDefault="004946E0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7</w:t>
      </w:r>
    </w:p>
    <w:p w:rsidR="003417CA" w:rsidRPr="002C076A" w:rsidRDefault="00585B0C" w:rsidP="003417CA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</w:t>
      </w:r>
      <w:r w:rsidR="003417CA" w:rsidRPr="002C076A">
        <w:rPr>
          <w:b/>
          <w:i/>
          <w:color w:val="000000" w:themeColor="text1"/>
        </w:rPr>
        <w:t xml:space="preserve"> округа (муниципального района)</w:t>
      </w:r>
    </w:p>
    <w:p w:rsidR="00585B0C" w:rsidRPr="002C076A" w:rsidRDefault="00585B0C" w:rsidP="00585B0C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Населенные пункты, в которых нет транспортного сообщения: дер. </w:t>
      </w:r>
      <w:r w:rsidRPr="002C076A">
        <w:rPr>
          <w:color w:val="000000" w:themeColor="text1"/>
        </w:rPr>
        <w:t>Александровка – 2 чел. (</w:t>
      </w:r>
      <w:proofErr w:type="spellStart"/>
      <w:r w:rsidRPr="002C076A">
        <w:rPr>
          <w:color w:val="000000" w:themeColor="text1"/>
        </w:rPr>
        <w:t>Трубникобоское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с.п</w:t>
      </w:r>
      <w:proofErr w:type="spellEnd"/>
      <w:r w:rsidRPr="002C076A">
        <w:rPr>
          <w:color w:val="000000" w:themeColor="text1"/>
        </w:rPr>
        <w:t xml:space="preserve">.), дер. </w:t>
      </w:r>
      <w:proofErr w:type="spellStart"/>
      <w:r w:rsidRPr="002C076A">
        <w:rPr>
          <w:color w:val="000000" w:themeColor="text1"/>
        </w:rPr>
        <w:t>Гуммолово</w:t>
      </w:r>
      <w:proofErr w:type="spellEnd"/>
      <w:r w:rsidRPr="002C076A">
        <w:rPr>
          <w:color w:val="000000" w:themeColor="text1"/>
        </w:rPr>
        <w:t xml:space="preserve"> – 1 чел. (</w:t>
      </w:r>
      <w:proofErr w:type="spellStart"/>
      <w:r w:rsidRPr="002C076A">
        <w:rPr>
          <w:color w:val="000000" w:themeColor="text1"/>
        </w:rPr>
        <w:t>Лисинское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с.п</w:t>
      </w:r>
      <w:proofErr w:type="spellEnd"/>
      <w:r w:rsidRPr="002C076A">
        <w:rPr>
          <w:color w:val="000000" w:themeColor="text1"/>
        </w:rPr>
        <w:t xml:space="preserve">.), дер. Турово </w:t>
      </w:r>
      <w:r w:rsidRPr="002C076A">
        <w:rPr>
          <w:rFonts w:eastAsia="Times New Roman"/>
          <w:bCs/>
          <w:color w:val="000000" w:themeColor="text1"/>
        </w:rPr>
        <w:t xml:space="preserve">– </w:t>
      </w:r>
      <w:r w:rsidRPr="002C076A">
        <w:rPr>
          <w:color w:val="000000" w:themeColor="text1"/>
        </w:rPr>
        <w:t>3 чел. (</w:t>
      </w:r>
      <w:proofErr w:type="spellStart"/>
      <w:r w:rsidRPr="002C076A">
        <w:rPr>
          <w:color w:val="000000" w:themeColor="text1"/>
        </w:rPr>
        <w:t>Лисинское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с.п</w:t>
      </w:r>
      <w:proofErr w:type="spellEnd"/>
      <w:r w:rsidRPr="002C076A">
        <w:rPr>
          <w:color w:val="000000" w:themeColor="text1"/>
        </w:rPr>
        <w:t xml:space="preserve">.), дер. </w:t>
      </w:r>
      <w:proofErr w:type="spellStart"/>
      <w:r w:rsidRPr="002C076A">
        <w:rPr>
          <w:color w:val="000000" w:themeColor="text1"/>
        </w:rPr>
        <w:t>Рамболово</w:t>
      </w:r>
      <w:proofErr w:type="spellEnd"/>
      <w:r w:rsidRPr="002C076A">
        <w:rPr>
          <w:color w:val="000000" w:themeColor="text1"/>
        </w:rPr>
        <w:t xml:space="preserve"> – 2 чел. (</w:t>
      </w:r>
      <w:proofErr w:type="spellStart"/>
      <w:r w:rsidRPr="002C076A">
        <w:rPr>
          <w:color w:val="000000" w:themeColor="text1"/>
        </w:rPr>
        <w:t>Форносовкое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г.п</w:t>
      </w:r>
      <w:proofErr w:type="spellEnd"/>
      <w:r w:rsidRPr="002C076A">
        <w:rPr>
          <w:color w:val="000000" w:themeColor="text1"/>
        </w:rPr>
        <w:t>.), дер. Мельница – 23 чел. (</w:t>
      </w:r>
      <w:proofErr w:type="spellStart"/>
      <w:r w:rsidRPr="002C076A">
        <w:rPr>
          <w:color w:val="000000" w:themeColor="text1"/>
        </w:rPr>
        <w:t>Тосненское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г.п</w:t>
      </w:r>
      <w:proofErr w:type="spellEnd"/>
      <w:r w:rsidRPr="002C076A">
        <w:rPr>
          <w:color w:val="000000" w:themeColor="text1"/>
        </w:rPr>
        <w:t>.). Итого</w:t>
      </w:r>
      <w:r w:rsidR="003417CA" w:rsidRPr="002C076A">
        <w:rPr>
          <w:color w:val="000000" w:themeColor="text1"/>
        </w:rPr>
        <w:t xml:space="preserve"> на конец 2022</w:t>
      </w:r>
      <w:r w:rsidRPr="002C076A">
        <w:rPr>
          <w:color w:val="000000" w:themeColor="text1"/>
        </w:rPr>
        <w:t xml:space="preserve"> года не охвачено транспортным сообщением 31 человек.</w:t>
      </w:r>
    </w:p>
    <w:p w:rsidR="003417CA" w:rsidRPr="002C076A" w:rsidRDefault="00585B0C" w:rsidP="003417CA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Среднегодовая численность населения: 2020г. – 125 236 чел. (125,2), 2021г. – 122</w:t>
      </w:r>
      <w:r w:rsidR="00B463A4" w:rsidRPr="002C076A">
        <w:rPr>
          <w:rFonts w:eastAsia="Times New Roman"/>
          <w:bCs/>
          <w:color w:val="000000" w:themeColor="text1"/>
        </w:rPr>
        <w:t> </w:t>
      </w:r>
      <w:r w:rsidRPr="002C076A">
        <w:rPr>
          <w:rFonts w:eastAsia="Times New Roman"/>
          <w:bCs/>
          <w:color w:val="000000" w:themeColor="text1"/>
        </w:rPr>
        <w:t>145</w:t>
      </w:r>
      <w:r w:rsidR="00B463A4" w:rsidRPr="002C076A">
        <w:rPr>
          <w:rFonts w:eastAsia="Times New Roman"/>
          <w:bCs/>
          <w:color w:val="000000" w:themeColor="text1"/>
        </w:rPr>
        <w:t>,5</w:t>
      </w:r>
      <w:r w:rsidRPr="002C076A">
        <w:rPr>
          <w:rFonts w:eastAsia="Times New Roman"/>
          <w:bCs/>
          <w:color w:val="000000" w:themeColor="text1"/>
        </w:rPr>
        <w:t xml:space="preserve"> чел. (122,2), 2022г. – </w:t>
      </w:r>
      <w:r w:rsidR="003417CA" w:rsidRPr="002C076A">
        <w:rPr>
          <w:rFonts w:eastAsia="Times New Roman"/>
          <w:bCs/>
          <w:color w:val="000000" w:themeColor="text1"/>
        </w:rPr>
        <w:t>134</w:t>
      </w:r>
      <w:r w:rsidR="002275D7" w:rsidRPr="002C076A">
        <w:rPr>
          <w:rFonts w:eastAsia="Times New Roman"/>
          <w:bCs/>
          <w:color w:val="000000" w:themeColor="text1"/>
        </w:rPr>
        <w:t> </w:t>
      </w:r>
      <w:r w:rsidR="003417CA" w:rsidRPr="002C076A">
        <w:rPr>
          <w:rFonts w:eastAsia="Times New Roman"/>
          <w:bCs/>
          <w:color w:val="000000" w:themeColor="text1"/>
        </w:rPr>
        <w:t>297</w:t>
      </w:r>
      <w:r w:rsidR="002275D7" w:rsidRPr="002C076A">
        <w:rPr>
          <w:rFonts w:eastAsia="Times New Roman"/>
          <w:bCs/>
          <w:color w:val="000000" w:themeColor="text1"/>
        </w:rPr>
        <w:t xml:space="preserve"> чел.</w:t>
      </w:r>
      <w:r w:rsidR="003417CA" w:rsidRPr="002C076A">
        <w:rPr>
          <w:rFonts w:eastAsia="Times New Roman"/>
          <w:bCs/>
          <w:color w:val="000000" w:themeColor="text1"/>
        </w:rPr>
        <w:t xml:space="preserve"> (134,3), </w:t>
      </w:r>
      <w:r w:rsidRPr="002C076A">
        <w:rPr>
          <w:rFonts w:eastAsia="Times New Roman"/>
          <w:bCs/>
          <w:color w:val="000000" w:themeColor="text1"/>
        </w:rPr>
        <w:t xml:space="preserve">2023г. – </w:t>
      </w:r>
      <w:r w:rsidR="003417CA" w:rsidRPr="002C076A">
        <w:rPr>
          <w:rFonts w:eastAsia="Times New Roman"/>
          <w:bCs/>
          <w:color w:val="000000" w:themeColor="text1"/>
        </w:rPr>
        <w:t xml:space="preserve">134 554 </w:t>
      </w:r>
      <w:r w:rsidR="002275D7" w:rsidRPr="002C076A">
        <w:rPr>
          <w:rFonts w:eastAsia="Times New Roman"/>
          <w:bCs/>
          <w:color w:val="000000" w:themeColor="text1"/>
        </w:rPr>
        <w:t xml:space="preserve">чел. </w:t>
      </w:r>
      <w:r w:rsidR="003417CA" w:rsidRPr="002C076A">
        <w:rPr>
          <w:rFonts w:eastAsia="Times New Roman"/>
          <w:bCs/>
          <w:color w:val="000000" w:themeColor="text1"/>
        </w:rPr>
        <w:t xml:space="preserve">(134,5), </w:t>
      </w:r>
      <w:r w:rsidRPr="002C076A">
        <w:rPr>
          <w:rFonts w:eastAsia="Times New Roman"/>
          <w:bCs/>
          <w:color w:val="000000" w:themeColor="text1"/>
        </w:rPr>
        <w:t xml:space="preserve">2024г. – </w:t>
      </w:r>
      <w:r w:rsidR="003417CA" w:rsidRPr="002C076A">
        <w:rPr>
          <w:rFonts w:eastAsia="Times New Roman"/>
          <w:color w:val="000000" w:themeColor="text1"/>
        </w:rPr>
        <w:t xml:space="preserve">135 910 </w:t>
      </w:r>
      <w:r w:rsidR="002275D7" w:rsidRPr="002C076A">
        <w:rPr>
          <w:rFonts w:eastAsia="Times New Roman"/>
          <w:color w:val="000000" w:themeColor="text1"/>
        </w:rPr>
        <w:t xml:space="preserve">чел. </w:t>
      </w:r>
      <w:r w:rsidR="003417CA" w:rsidRPr="002C076A">
        <w:rPr>
          <w:rFonts w:eastAsia="Times New Roman"/>
          <w:color w:val="000000" w:themeColor="text1"/>
        </w:rPr>
        <w:t>(135,9), 2025г.</w:t>
      </w:r>
      <w:r w:rsidR="003417CA" w:rsidRPr="002C076A">
        <w:rPr>
          <w:rFonts w:eastAsia="Times New Roman"/>
          <w:bCs/>
          <w:color w:val="000000" w:themeColor="text1"/>
        </w:rPr>
        <w:t xml:space="preserve"> – 135 740 </w:t>
      </w:r>
      <w:r w:rsidR="002275D7" w:rsidRPr="002C076A">
        <w:rPr>
          <w:rFonts w:eastAsia="Times New Roman"/>
          <w:bCs/>
          <w:color w:val="000000" w:themeColor="text1"/>
        </w:rPr>
        <w:t xml:space="preserve">чел. </w:t>
      </w:r>
      <w:r w:rsidR="003417CA" w:rsidRPr="002C076A">
        <w:rPr>
          <w:rFonts w:eastAsia="Times New Roman"/>
          <w:bCs/>
          <w:color w:val="000000" w:themeColor="text1"/>
        </w:rPr>
        <w:t>(135,7).</w:t>
      </w:r>
    </w:p>
    <w:p w:rsidR="00585B0C" w:rsidRPr="002C076A" w:rsidRDefault="003417CA" w:rsidP="00585B0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Доля составляет: 0,023 (0,02</w:t>
      </w:r>
      <w:r w:rsidR="00585B0C" w:rsidRPr="002C076A">
        <w:rPr>
          <w:rFonts w:eastAsia="Times New Roman"/>
          <w:bCs/>
          <w:color w:val="000000" w:themeColor="text1"/>
        </w:rPr>
        <w:t>).</w:t>
      </w:r>
    </w:p>
    <w:p w:rsidR="00585B0C" w:rsidRPr="002C076A" w:rsidRDefault="00585B0C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Организация регулярного транспортного сообщения в перечисленных населённых пунктах экономически не целесообразна с учётом незначительного количества постоянно проживающего населения, обособленного расположения населённых пунктов и состояния дорожного покрытия и ширины дорог, которое не может обеспечить безопасность пассажирских перевозок.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8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Среднемесячная номинальная начисленная заработная плата работников: </w:t>
      </w:r>
    </w:p>
    <w:p w:rsidR="00834EF7" w:rsidRPr="002C076A" w:rsidRDefault="00585B0C" w:rsidP="00834EF7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крупных и средних предприятий</w:t>
      </w:r>
    </w:p>
    <w:p w:rsidR="00834EF7" w:rsidRPr="002C076A" w:rsidRDefault="00330303" w:rsidP="00834EF7">
      <w:pPr>
        <w:ind w:firstLine="708"/>
        <w:jc w:val="both"/>
        <w:rPr>
          <w:rStyle w:val="afc"/>
          <w:i w:val="0"/>
          <w:color w:val="000000" w:themeColor="text1"/>
        </w:rPr>
      </w:pPr>
      <w:r w:rsidRPr="002C076A">
        <w:rPr>
          <w:rStyle w:val="afc"/>
          <w:i w:val="0"/>
          <w:color w:val="000000" w:themeColor="text1"/>
        </w:rPr>
        <w:t xml:space="preserve">В 2020-2022 годах наблюдалась положительная динамика роста </w:t>
      </w:r>
      <w:r w:rsidRPr="002C076A">
        <w:rPr>
          <w:rStyle w:val="afc"/>
          <w:i w:val="0"/>
          <w:color w:val="000000" w:themeColor="text1"/>
          <w:lang w:eastAsia="en-US"/>
        </w:rPr>
        <w:t>среднемесячной</w:t>
      </w:r>
      <w:r w:rsidRPr="002C076A">
        <w:rPr>
          <w:rStyle w:val="afc"/>
          <w:i w:val="0"/>
          <w:color w:val="000000" w:themeColor="text1"/>
        </w:rPr>
        <w:t xml:space="preserve"> </w:t>
      </w:r>
      <w:proofErr w:type="gramStart"/>
      <w:r w:rsidRPr="002C076A">
        <w:rPr>
          <w:rStyle w:val="afc"/>
          <w:i w:val="0"/>
          <w:color w:val="000000" w:themeColor="text1"/>
          <w:lang w:eastAsia="en-US"/>
        </w:rPr>
        <w:t>заработной  платы</w:t>
      </w:r>
      <w:proofErr w:type="gramEnd"/>
      <w:r w:rsidRPr="002C076A">
        <w:rPr>
          <w:rStyle w:val="afc"/>
          <w:i w:val="0"/>
          <w:color w:val="000000" w:themeColor="text1"/>
          <w:lang w:eastAsia="en-US"/>
        </w:rPr>
        <w:t xml:space="preserve">  работников  на  крупных  и  средних  предприятиях  </w:t>
      </w:r>
      <w:proofErr w:type="spellStart"/>
      <w:r w:rsidRPr="002C076A">
        <w:rPr>
          <w:rStyle w:val="afc"/>
          <w:i w:val="0"/>
          <w:color w:val="000000" w:themeColor="text1"/>
          <w:lang w:eastAsia="en-US"/>
        </w:rPr>
        <w:t>Тосненского</w:t>
      </w:r>
      <w:proofErr w:type="spellEnd"/>
      <w:r w:rsidRPr="002C076A">
        <w:rPr>
          <w:rStyle w:val="afc"/>
          <w:i w:val="0"/>
          <w:color w:val="000000" w:themeColor="text1"/>
          <w:lang w:eastAsia="en-US"/>
        </w:rPr>
        <w:t xml:space="preserve"> района</w:t>
      </w:r>
      <w:r w:rsidRPr="002C076A">
        <w:rPr>
          <w:rStyle w:val="afc"/>
          <w:i w:val="0"/>
          <w:color w:val="000000" w:themeColor="text1"/>
        </w:rPr>
        <w:t xml:space="preserve">.   </w:t>
      </w:r>
    </w:p>
    <w:p w:rsidR="00834EF7" w:rsidRPr="002C076A" w:rsidRDefault="00330303" w:rsidP="00834EF7">
      <w:pPr>
        <w:ind w:firstLine="708"/>
        <w:jc w:val="both"/>
        <w:rPr>
          <w:rStyle w:val="afc"/>
          <w:i w:val="0"/>
          <w:color w:val="000000" w:themeColor="text1"/>
        </w:rPr>
      </w:pPr>
      <w:r w:rsidRPr="002C076A">
        <w:rPr>
          <w:rStyle w:val="afc"/>
          <w:i w:val="0"/>
          <w:color w:val="000000" w:themeColor="text1"/>
        </w:rPr>
        <w:t xml:space="preserve">Так, за 2022 год среднемесячная </w:t>
      </w:r>
      <w:proofErr w:type="gramStart"/>
      <w:r w:rsidRPr="002C076A">
        <w:rPr>
          <w:rStyle w:val="afc"/>
          <w:i w:val="0"/>
          <w:color w:val="000000" w:themeColor="text1"/>
        </w:rPr>
        <w:t>начисленная  заработная</w:t>
      </w:r>
      <w:proofErr w:type="gramEnd"/>
      <w:r w:rsidRPr="002C076A">
        <w:rPr>
          <w:rStyle w:val="afc"/>
          <w:i w:val="0"/>
          <w:color w:val="000000" w:themeColor="text1"/>
        </w:rPr>
        <w:t xml:space="preserve">  плата  по  </w:t>
      </w:r>
      <w:proofErr w:type="spellStart"/>
      <w:r w:rsidRPr="002C076A">
        <w:rPr>
          <w:rStyle w:val="afc"/>
          <w:i w:val="0"/>
          <w:color w:val="000000" w:themeColor="text1"/>
        </w:rPr>
        <w:t>Тосненскому</w:t>
      </w:r>
      <w:proofErr w:type="spellEnd"/>
      <w:r w:rsidRPr="002C076A">
        <w:rPr>
          <w:rStyle w:val="afc"/>
          <w:i w:val="0"/>
          <w:color w:val="000000" w:themeColor="text1"/>
        </w:rPr>
        <w:t xml:space="preserve">  району  по данным статистики составила 59276 рублей.</w:t>
      </w:r>
    </w:p>
    <w:p w:rsidR="00330303" w:rsidRPr="002C076A" w:rsidRDefault="00330303" w:rsidP="00834EF7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rFonts w:eastAsia="Times New Roman"/>
          <w:bCs/>
          <w:color w:val="000000" w:themeColor="text1"/>
          <w:lang w:eastAsia="en-US"/>
        </w:rPr>
        <w:t>В 2023 году и на период до 2025 года на территории МО прогнозируется тенденция роста среднемесячной номинальной начисленной заработной платы одного работника в среднем на 7,6% (2023 год – 64729 руб. (109,2%)</w:t>
      </w:r>
      <w:r w:rsidRPr="002C076A">
        <w:rPr>
          <w:rFonts w:eastAsia="Times New Roman"/>
          <w:bCs/>
          <w:color w:val="000000" w:themeColor="text1"/>
          <w:shd w:val="clear" w:color="auto" w:fill="FFFFFF"/>
          <w:lang w:eastAsia="en-US"/>
        </w:rPr>
        <w:t>, 2024 год</w:t>
      </w:r>
      <w:r w:rsidRPr="002C076A">
        <w:rPr>
          <w:rFonts w:eastAsia="Times New Roman"/>
          <w:bCs/>
          <w:color w:val="000000" w:themeColor="text1"/>
          <w:lang w:eastAsia="en-US"/>
        </w:rPr>
        <w:t> – 69324 руб. (107,1%), </w:t>
      </w:r>
      <w:r w:rsidRPr="002C076A">
        <w:rPr>
          <w:rFonts w:eastAsia="Times New Roman"/>
          <w:bCs/>
          <w:color w:val="000000" w:themeColor="text1"/>
          <w:shd w:val="clear" w:color="auto" w:fill="FFFFFF"/>
          <w:lang w:eastAsia="en-US"/>
        </w:rPr>
        <w:t xml:space="preserve">2025 год – 73899 </w:t>
      </w:r>
      <w:r w:rsidRPr="002C076A">
        <w:rPr>
          <w:rFonts w:eastAsia="Times New Roman"/>
          <w:bCs/>
          <w:color w:val="000000" w:themeColor="text1"/>
          <w:lang w:eastAsia="en-US"/>
        </w:rPr>
        <w:t>руб. (106,6%).</w:t>
      </w:r>
    </w:p>
    <w:p w:rsidR="00330303" w:rsidRPr="002C076A" w:rsidRDefault="00330303" w:rsidP="00330303">
      <w:pPr>
        <w:shd w:val="clear" w:color="auto" w:fill="FFFFFF"/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Прогнозируемый рост заработной платы планируется обеспечить за счет:</w:t>
      </w:r>
    </w:p>
    <w:p w:rsidR="00330303" w:rsidRPr="002C076A" w:rsidRDefault="00330303" w:rsidP="00330303">
      <w:pPr>
        <w:numPr>
          <w:ilvl w:val="0"/>
          <w:numId w:val="20"/>
        </w:numPr>
        <w:shd w:val="clear" w:color="auto" w:fill="FFFFFF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 xml:space="preserve">создания высокопроизводительных рабочих мест </w:t>
      </w:r>
      <w:proofErr w:type="gramStart"/>
      <w:r w:rsidRPr="002C076A">
        <w:rPr>
          <w:iCs/>
          <w:color w:val="000000" w:themeColor="text1"/>
        </w:rPr>
        <w:t>на  предприятиях</w:t>
      </w:r>
      <w:proofErr w:type="gramEnd"/>
      <w:r w:rsidRPr="002C076A">
        <w:rPr>
          <w:iCs/>
          <w:color w:val="000000" w:themeColor="text1"/>
        </w:rPr>
        <w:t>, размещающих новые производственные мощности</w:t>
      </w:r>
    </w:p>
    <w:p w:rsidR="00585B0C" w:rsidRPr="002C076A" w:rsidRDefault="00330303" w:rsidP="00585B0C">
      <w:pPr>
        <w:numPr>
          <w:ilvl w:val="0"/>
          <w:numId w:val="20"/>
        </w:numPr>
        <w:shd w:val="clear" w:color="auto" w:fill="FFFFFF"/>
        <w:jc w:val="both"/>
        <w:rPr>
          <w:iCs/>
          <w:color w:val="000000" w:themeColor="text1"/>
        </w:rPr>
      </w:pPr>
      <w:proofErr w:type="gramStart"/>
      <w:r w:rsidRPr="002C076A">
        <w:rPr>
          <w:iCs/>
          <w:color w:val="000000" w:themeColor="text1"/>
        </w:rPr>
        <w:t>увеличения  минимального</w:t>
      </w:r>
      <w:proofErr w:type="gramEnd"/>
      <w:r w:rsidRPr="002C076A">
        <w:rPr>
          <w:iCs/>
          <w:color w:val="000000" w:themeColor="text1"/>
        </w:rPr>
        <w:t>  размера  оплаты  труда  в  соответствии  с  постановлениями  Правительства  Ленинградской  области.</w:t>
      </w:r>
    </w:p>
    <w:p w:rsidR="00834EF7" w:rsidRPr="002C076A" w:rsidRDefault="00834EF7" w:rsidP="00834EF7">
      <w:pPr>
        <w:shd w:val="clear" w:color="auto" w:fill="FFFFFF"/>
        <w:ind w:left="720"/>
        <w:jc w:val="both"/>
        <w:rPr>
          <w:iCs/>
          <w:color w:val="000000" w:themeColor="text1"/>
        </w:rPr>
      </w:pP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муниципальных дошкольных, общеобразовательных учреждений и учителей общеобразовательных учреждений</w:t>
      </w:r>
    </w:p>
    <w:p w:rsidR="00642F8E" w:rsidRPr="002C076A" w:rsidRDefault="00642F8E" w:rsidP="00D02C4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С 2013 года наблюдается положительная динамика роста </w:t>
      </w:r>
      <w:proofErr w:type="gramStart"/>
      <w:r w:rsidRPr="002C076A">
        <w:rPr>
          <w:color w:val="000000" w:themeColor="text1"/>
        </w:rPr>
        <w:t>среднемесячной  заработной</w:t>
      </w:r>
      <w:proofErr w:type="gramEnd"/>
      <w:r w:rsidRPr="002C076A">
        <w:rPr>
          <w:color w:val="000000" w:themeColor="text1"/>
        </w:rPr>
        <w:t xml:space="preserve">  платы  работников в сфере образования. Это связано с выполнением Плана мероприятий («Дорожной карты»), а также соблюдением Указа Президента Российской Федерации от 07.05.2012 года № 597 «О мероприятиях по реализации государственной социальной политики» в части повышения заработной платы </w:t>
      </w:r>
      <w:r w:rsidR="00D02C43" w:rsidRPr="002C076A">
        <w:rPr>
          <w:color w:val="000000" w:themeColor="text1"/>
        </w:rPr>
        <w:t>отдельных категорий работников.</w:t>
      </w:r>
    </w:p>
    <w:p w:rsidR="00834EF7" w:rsidRPr="002C076A" w:rsidRDefault="00834EF7" w:rsidP="00D02C43">
      <w:pPr>
        <w:ind w:firstLine="708"/>
        <w:jc w:val="both"/>
        <w:rPr>
          <w:color w:val="000000" w:themeColor="text1"/>
        </w:rPr>
      </w:pPr>
    </w:p>
    <w:p w:rsidR="00D02C43" w:rsidRPr="002C076A" w:rsidRDefault="00D02C43" w:rsidP="00D02C43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lastRenderedPageBreak/>
        <w:t>муниципальных учреждений культуры</w:t>
      </w:r>
    </w:p>
    <w:p w:rsidR="00D02C43" w:rsidRPr="002C076A" w:rsidRDefault="00D02C43" w:rsidP="00D02C43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 xml:space="preserve">В 2019 – 2022 годах наблюдалась положительная динамика роста среднемесячной заработной плате работников муниципальных учреждений культуры </w:t>
      </w:r>
      <w:proofErr w:type="spellStart"/>
      <w:r w:rsidRPr="002C076A">
        <w:rPr>
          <w:rFonts w:eastAsia="Times New Roman"/>
          <w:bCs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bCs/>
          <w:color w:val="000000" w:themeColor="text1"/>
        </w:rPr>
        <w:t xml:space="preserve"> района. Так за 2022 год среднемесячная заработная плата составила 52 642 рубля. </w:t>
      </w:r>
      <w:r w:rsidRPr="002C076A">
        <w:rPr>
          <w:color w:val="000000" w:themeColor="text1"/>
        </w:rPr>
        <w:t xml:space="preserve">Это связано с выполнением Плана мероприятий («Дорожной карты»), а также соблюдением Указа Президента Российской Федерации от 07.05.2012 года № 597 «О мероприятиях по реализации государственной социальной политики» в части повышения заработной платы отдельных категорий работников. 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 xml:space="preserve">В 2023 году и на период 2024 - 2025 годов на территории муниципального образования </w:t>
      </w:r>
      <w:proofErr w:type="spellStart"/>
      <w:r w:rsidRPr="002C076A">
        <w:rPr>
          <w:rFonts w:eastAsia="Times New Roman"/>
          <w:bCs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bCs/>
          <w:color w:val="000000" w:themeColor="text1"/>
        </w:rPr>
        <w:t xml:space="preserve"> район Ленинградской области прогнозируется тенденция роста с учетом поэтапного роста среднемесячной номинальной начисленной заработной платы одного работника в среднем на 4% ежегодно: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  <w:shd w:val="clear" w:color="auto" w:fill="FFFFFF"/>
        </w:rPr>
      </w:pPr>
      <w:r w:rsidRPr="002C076A">
        <w:rPr>
          <w:rFonts w:eastAsia="Times New Roman"/>
          <w:bCs/>
          <w:color w:val="000000" w:themeColor="text1"/>
        </w:rPr>
        <w:t>- 2023 год – 54 748 рублей,</w:t>
      </w:r>
      <w:r w:rsidRPr="002C076A">
        <w:rPr>
          <w:rFonts w:eastAsia="Times New Roman"/>
          <w:bCs/>
          <w:color w:val="000000" w:themeColor="text1"/>
          <w:shd w:val="clear" w:color="auto" w:fill="FFFFFF"/>
        </w:rPr>
        <w:t xml:space="preserve">  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  <w:shd w:val="clear" w:color="auto" w:fill="FFFFFF"/>
        </w:rPr>
      </w:pPr>
      <w:r w:rsidRPr="002C076A">
        <w:rPr>
          <w:rFonts w:eastAsia="Times New Roman"/>
          <w:bCs/>
          <w:color w:val="000000" w:themeColor="text1"/>
          <w:shd w:val="clear" w:color="auto" w:fill="FFFFFF"/>
        </w:rPr>
        <w:t xml:space="preserve">- 2024 год </w:t>
      </w:r>
      <w:r w:rsidRPr="002C076A">
        <w:rPr>
          <w:rFonts w:eastAsia="Times New Roman"/>
          <w:bCs/>
          <w:color w:val="000000" w:themeColor="text1"/>
        </w:rPr>
        <w:t>– 56 938 рублей, </w:t>
      </w:r>
      <w:r w:rsidRPr="002C076A">
        <w:rPr>
          <w:rFonts w:eastAsia="Times New Roman"/>
          <w:bCs/>
          <w:color w:val="000000" w:themeColor="text1"/>
          <w:shd w:val="clear" w:color="auto" w:fill="FFFFFF"/>
        </w:rPr>
        <w:t> 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</w:rPr>
      </w:pPr>
      <w:r w:rsidRPr="002C076A">
        <w:rPr>
          <w:rFonts w:eastAsia="Times New Roman"/>
          <w:bCs/>
          <w:color w:val="000000" w:themeColor="text1"/>
          <w:shd w:val="clear" w:color="auto" w:fill="FFFFFF"/>
        </w:rPr>
        <w:t>- 2025 год – 59 216 рублей</w:t>
      </w:r>
      <w:r w:rsidRPr="002C076A">
        <w:rPr>
          <w:rFonts w:eastAsia="Times New Roman"/>
          <w:bCs/>
          <w:color w:val="000000" w:themeColor="text1"/>
        </w:rPr>
        <w:t>.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Прогнозируемый рост заработной платы планируется обеспечить за счет:</w:t>
      </w:r>
    </w:p>
    <w:p w:rsidR="00D02C43" w:rsidRPr="002C076A" w:rsidRDefault="00D02C43" w:rsidP="00D02C43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обеспечения высококвалифицированными специалистами в сфере культуры;</w:t>
      </w:r>
    </w:p>
    <w:p w:rsidR="00D02C43" w:rsidRPr="002C076A" w:rsidRDefault="00D02C43" w:rsidP="00D02C43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 w:themeColor="text1"/>
        </w:rPr>
      </w:pPr>
      <w:proofErr w:type="gramStart"/>
      <w:r w:rsidRPr="002C076A">
        <w:rPr>
          <w:rFonts w:eastAsia="Times New Roman"/>
          <w:bCs/>
          <w:color w:val="000000" w:themeColor="text1"/>
        </w:rPr>
        <w:t>увеличения  среднемесячного</w:t>
      </w:r>
      <w:proofErr w:type="gramEnd"/>
      <w:r w:rsidRPr="002C076A">
        <w:rPr>
          <w:rFonts w:eastAsia="Times New Roman"/>
          <w:bCs/>
          <w:color w:val="000000" w:themeColor="text1"/>
        </w:rPr>
        <w:t>  размера  оплаты  труда  в  соответствии  с  постановлениями  Правительства  Ленинградской  области.</w:t>
      </w:r>
    </w:p>
    <w:p w:rsidR="00D02C43" w:rsidRPr="002C076A" w:rsidRDefault="00D02C43" w:rsidP="00585B0C">
      <w:pPr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numPr>
          <w:ilvl w:val="0"/>
          <w:numId w:val="9"/>
        </w:num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</w:rPr>
        <w:t>Дошкольное образование</w:t>
      </w: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9 </w:t>
      </w:r>
    </w:p>
    <w:p w:rsidR="002D5097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</w:t>
      </w:r>
      <w:r w:rsidR="00A56082" w:rsidRPr="002C076A">
        <w:rPr>
          <w:b/>
          <w:i/>
          <w:color w:val="000000" w:themeColor="text1"/>
        </w:rPr>
        <w:t>ости детей в возрасте 1 - 6 лет</w:t>
      </w:r>
    </w:p>
    <w:p w:rsidR="00835DFE" w:rsidRPr="002C076A" w:rsidRDefault="00835DFE" w:rsidP="00A5608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Фактическое значение данного показателя за 2022 год составило 97,59% (в 2021 году – 96,6%. Рост обусловлен открытием в декабре 2021 году дошкольного образовательного учреждения в г. Тосно на 180 мест, выкупа детского сада в п. Федоровское на 80 мест и строительства в плановом 2023-2024.г г. детских садов в г. Никольское на 220 мест, п. Тельмана на 200 мест, а также открытием частного детского сада на территории </w:t>
      </w:r>
      <w:proofErr w:type="spellStart"/>
      <w:r w:rsidRPr="002C076A">
        <w:rPr>
          <w:color w:val="000000" w:themeColor="text1"/>
        </w:rPr>
        <w:t>Тельмановского</w:t>
      </w:r>
      <w:proofErr w:type="spellEnd"/>
      <w:r w:rsidRPr="002C076A">
        <w:rPr>
          <w:color w:val="000000" w:themeColor="text1"/>
        </w:rPr>
        <w:t xml:space="preserve"> сельского поселения.</w:t>
      </w:r>
    </w:p>
    <w:p w:rsidR="00585B0C" w:rsidRPr="002C076A" w:rsidRDefault="00585B0C" w:rsidP="00585B0C">
      <w:pPr>
        <w:spacing w:line="0" w:lineRule="atLeast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10</w:t>
      </w:r>
    </w:p>
    <w:p w:rsidR="00A56082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</w:t>
      </w:r>
      <w:r w:rsidR="00A56082" w:rsidRPr="002C076A">
        <w:rPr>
          <w:b/>
          <w:i/>
          <w:color w:val="000000" w:themeColor="text1"/>
        </w:rPr>
        <w:t>ости детей в возрасте 1 - 6 лет</w:t>
      </w:r>
    </w:p>
    <w:p w:rsidR="00835DFE" w:rsidRPr="002C076A" w:rsidRDefault="00835DFE" w:rsidP="00A5608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Фактическое значение данного показателя за 2022 год составило 2,41% (2021 год – 3,0%), в последующие годы прогнозируется снижение данного показателя за счет создания дополнительных мест в дошкольных образовательных учреждениях района для детей раннего возраста.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11</w:t>
      </w:r>
    </w:p>
    <w:p w:rsidR="00585B0C" w:rsidRPr="002C076A" w:rsidRDefault="00585B0C" w:rsidP="00585B0C">
      <w:pPr>
        <w:spacing w:line="240" w:lineRule="atLeast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835DFE" w:rsidRPr="002C076A" w:rsidRDefault="00835DFE" w:rsidP="00835DFE">
      <w:pPr>
        <w:spacing w:line="240" w:lineRule="atLeast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доля муниципальных дошкольных образовательных учреждений, здания которых находятся в аварийном состоянии или требуют капитального ремонта 0%. </w:t>
      </w:r>
    </w:p>
    <w:p w:rsidR="00A56082" w:rsidRPr="002C076A" w:rsidRDefault="00A56082" w:rsidP="00835DFE">
      <w:pPr>
        <w:spacing w:line="240" w:lineRule="atLeast"/>
        <w:jc w:val="both"/>
        <w:rPr>
          <w:color w:val="000000" w:themeColor="text1"/>
        </w:rPr>
      </w:pPr>
    </w:p>
    <w:p w:rsidR="00585B0C" w:rsidRPr="002C076A" w:rsidRDefault="00585B0C" w:rsidP="00585B0C">
      <w:pPr>
        <w:spacing w:line="240" w:lineRule="atLeast"/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color w:val="000000" w:themeColor="text1"/>
          <w:sz w:val="28"/>
          <w:szCs w:val="28"/>
        </w:rPr>
        <w:lastRenderedPageBreak/>
        <w:t xml:space="preserve"> </w:t>
      </w:r>
      <w:r w:rsidRPr="002C076A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2C076A">
        <w:rPr>
          <w:b/>
          <w:bCs/>
          <w:color w:val="000000" w:themeColor="text1"/>
          <w:sz w:val="28"/>
          <w:szCs w:val="28"/>
        </w:rPr>
        <w:t>. Общее и дополнительное образование</w:t>
      </w:r>
    </w:p>
    <w:p w:rsidR="00585B0C" w:rsidRPr="002C076A" w:rsidRDefault="00585B0C" w:rsidP="00585B0C">
      <w:pPr>
        <w:jc w:val="both"/>
        <w:rPr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12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rFonts w:eastAsia="Arial Unicode MS"/>
          <w:b/>
          <w:bCs/>
          <w:i/>
          <w:color w:val="000000" w:themeColor="text1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rFonts w:eastAsia="Arial Unicode MS"/>
          <w:bCs/>
          <w:color w:val="000000" w:themeColor="text1"/>
        </w:rPr>
        <w:t xml:space="preserve">Исключен на основании постановления Правительства Ленинградской области от 20.03.2017 № 65 «О внесении изменений 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округа». </w:t>
      </w:r>
    </w:p>
    <w:p w:rsidR="00585B0C" w:rsidRPr="002C076A" w:rsidRDefault="00585B0C" w:rsidP="00585B0C">
      <w:pPr>
        <w:jc w:val="both"/>
        <w:rPr>
          <w:rFonts w:eastAsia="Arial Unicode MS"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13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835DFE" w:rsidRPr="002C076A" w:rsidRDefault="00835DFE" w:rsidP="00835DFE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итогам 2022 года доля выпускников муниципальных общеобразовательных учреждений, которые не получили аттестат о среднем (полном) образовании снизился на 0,35% по сравнению с данными 2021 года. </w:t>
      </w:r>
    </w:p>
    <w:p w:rsidR="00585B0C" w:rsidRPr="002C076A" w:rsidRDefault="00835DFE" w:rsidP="00835DFE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В 2022 году все выпускники получили аттестат о среднем общем образовании. Показатель в 2022 году составляет - 0%.</w:t>
      </w:r>
    </w:p>
    <w:p w:rsidR="00835DFE" w:rsidRPr="002C076A" w:rsidRDefault="00835DFE" w:rsidP="00835DFE">
      <w:pPr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14</w:t>
      </w:r>
    </w:p>
    <w:p w:rsidR="00A56082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A56082" w:rsidRPr="002C076A">
        <w:rPr>
          <w:b/>
          <w:i/>
          <w:color w:val="000000" w:themeColor="text1"/>
        </w:rPr>
        <w:t xml:space="preserve"> общеобразовательных учреждений</w:t>
      </w:r>
    </w:p>
    <w:p w:rsidR="00A56082" w:rsidRPr="002C076A" w:rsidRDefault="00835DFE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Фактическое значение данного показателя за 2022 год составило 100,0% (</w:t>
      </w:r>
      <w:r w:rsidR="00183525" w:rsidRPr="002C076A">
        <w:rPr>
          <w:color w:val="000000" w:themeColor="text1"/>
        </w:rPr>
        <w:t>2020-2021 гг.</w:t>
      </w:r>
      <w:r w:rsidRPr="002C076A">
        <w:rPr>
          <w:color w:val="000000" w:themeColor="text1"/>
        </w:rPr>
        <w:t xml:space="preserve"> – 100,0%). Наблюдается 100% значение данного показателя в результате создания необходимой материальной базы в общеобразовательных учреждениях района, отвечающей современным требованиям обучения. Средства на укрепление материально-технической базы выделяются за счет областного и муниципального бюджетов.</w:t>
      </w:r>
      <w:r w:rsidR="00183525" w:rsidRPr="002C076A">
        <w:rPr>
          <w:color w:val="000000" w:themeColor="text1"/>
        </w:rPr>
        <w:t xml:space="preserve"> </w:t>
      </w:r>
    </w:p>
    <w:p w:rsidR="00901CCB" w:rsidRPr="002C076A" w:rsidRDefault="00901CCB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2023-2025 годах данный показатель составит 100,0%.  </w:t>
      </w:r>
    </w:p>
    <w:p w:rsidR="00585B0C" w:rsidRPr="002C076A" w:rsidRDefault="00585B0C" w:rsidP="00585B0C">
      <w:pPr>
        <w:jc w:val="both"/>
        <w:rPr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15</w:t>
      </w:r>
    </w:p>
    <w:p w:rsidR="00585B0C" w:rsidRPr="002C076A" w:rsidRDefault="00585B0C" w:rsidP="00585B0C">
      <w:pPr>
        <w:spacing w:line="240" w:lineRule="atLeast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835DFE" w:rsidRPr="002C076A" w:rsidRDefault="00835DFE" w:rsidP="00A56082">
      <w:pPr>
        <w:shd w:val="clear" w:color="auto" w:fill="FFFFFF"/>
        <w:spacing w:line="240" w:lineRule="atLeast"/>
        <w:ind w:left="-142" w:firstLine="850"/>
        <w:jc w:val="both"/>
        <w:rPr>
          <w:color w:val="000000" w:themeColor="text1"/>
        </w:rPr>
      </w:pPr>
      <w:r w:rsidRPr="002C076A">
        <w:rPr>
          <w:color w:val="000000" w:themeColor="text1"/>
        </w:rPr>
        <w:t>По итогам 2022 года доля муниципальных общеобразовательных учреждений, здания которых находятся в аварийном состоянии или требуют капитального ремонта составила 3,70%. Требующим капитального ремонта было признано зданием МКОУ «</w:t>
      </w:r>
      <w:proofErr w:type="spellStart"/>
      <w:r w:rsidRPr="002C076A">
        <w:rPr>
          <w:color w:val="000000" w:themeColor="text1"/>
        </w:rPr>
        <w:t>Любанская</w:t>
      </w:r>
      <w:proofErr w:type="spellEnd"/>
      <w:r w:rsidRPr="002C076A">
        <w:rPr>
          <w:color w:val="000000" w:themeColor="text1"/>
        </w:rPr>
        <w:t xml:space="preserve"> СОШ», в котором проводилась реновация.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16</w:t>
      </w:r>
    </w:p>
    <w:p w:rsidR="00585B0C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Доля детей первой и второй групп здоровья в общей </w:t>
      </w:r>
      <w:proofErr w:type="gramStart"/>
      <w:r w:rsidRPr="002C076A">
        <w:rPr>
          <w:b/>
          <w:i/>
          <w:color w:val="000000" w:themeColor="text1"/>
        </w:rPr>
        <w:t>численности</w:t>
      </w:r>
      <w:proofErr w:type="gramEnd"/>
      <w:r w:rsidRPr="002C076A">
        <w:rPr>
          <w:b/>
          <w:i/>
          <w:color w:val="000000" w:themeColor="text1"/>
        </w:rPr>
        <w:t xml:space="preserve"> обучающихся в муниципальных общеобра</w:t>
      </w:r>
      <w:r w:rsidR="00A56082" w:rsidRPr="002C076A">
        <w:rPr>
          <w:b/>
          <w:i/>
          <w:color w:val="000000" w:themeColor="text1"/>
        </w:rPr>
        <w:t>зовательных учреждениях</w:t>
      </w:r>
    </w:p>
    <w:p w:rsidR="00835DFE" w:rsidRPr="002C076A" w:rsidRDefault="00835DFE" w:rsidP="00A56082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Показатель составил 86,6% (в 2021 году 86,3%). Увеличение доли планируется за счет улучшения условий </w:t>
      </w:r>
      <w:proofErr w:type="spellStart"/>
      <w:r w:rsidRPr="002C076A">
        <w:rPr>
          <w:color w:val="000000" w:themeColor="text1"/>
        </w:rPr>
        <w:t>здоровьесберегающей</w:t>
      </w:r>
      <w:proofErr w:type="spellEnd"/>
      <w:r w:rsidRPr="002C076A">
        <w:rPr>
          <w:color w:val="000000" w:themeColor="text1"/>
        </w:rPr>
        <w:t xml:space="preserve"> среды в общеобразовательных учреждениях: приведения в соответствие санитарно-гигиеническим требованиям уровня освещенности учебных помещений; улучшения качества и охвата горячим питанием (с сентября 2020 года 100%); обновления спортивной базы общеобразовательных </w:t>
      </w:r>
      <w:r w:rsidRPr="002C076A">
        <w:rPr>
          <w:color w:val="000000" w:themeColor="text1"/>
        </w:rPr>
        <w:lastRenderedPageBreak/>
        <w:t>учреждений, что увеличило охват детей, занимающихся в спортивных секциях на базах ОУ; проведения целенаправленной профилактической работы по формированию у детей и подростков мотивации и стремлению к сохранению и укреплению здоровья. Таким образом, прогнозируемый показатель в 2023 году - 86,8%, в 2024 году - 86,85%, в 2025 году - 86,9%.</w:t>
      </w:r>
    </w:p>
    <w:p w:rsidR="00A56082" w:rsidRPr="002C076A" w:rsidRDefault="00A56082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17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  <w:lang w:eastAsia="en-US"/>
        </w:rPr>
      </w:pPr>
      <w:r w:rsidRPr="002C076A">
        <w:rPr>
          <w:b/>
          <w:i/>
          <w:color w:val="000000" w:themeColor="text1"/>
          <w:lang w:eastAsia="en-US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2C076A">
        <w:rPr>
          <w:b/>
          <w:i/>
          <w:color w:val="000000" w:themeColor="text1"/>
          <w:lang w:eastAsia="en-US"/>
        </w:rPr>
        <w:t>численности</w:t>
      </w:r>
      <w:proofErr w:type="gramEnd"/>
      <w:r w:rsidRPr="002C076A">
        <w:rPr>
          <w:b/>
          <w:i/>
          <w:color w:val="000000" w:themeColor="text1"/>
          <w:lang w:eastAsia="en-US"/>
        </w:rPr>
        <w:t xml:space="preserve"> обучающихся в муниципальных общеобразовательных учреждениях</w:t>
      </w:r>
    </w:p>
    <w:p w:rsidR="00835DFE" w:rsidRPr="002C076A" w:rsidRDefault="00835DFE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С 2017 года ликвидированы 2-ые смены в общеобразовательных учреждениях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области, в связи с переходом обучающих на гибкий график работы. </w:t>
      </w:r>
    </w:p>
    <w:p w:rsidR="00835DFE" w:rsidRPr="002C076A" w:rsidRDefault="00835DFE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в 2022 году составляет - 0%, прогнозируемый показатель в 2023 году - 0%, в 2024 году - 0%, в 2025 году – 0%.</w:t>
      </w:r>
    </w:p>
    <w:p w:rsidR="00835DFE" w:rsidRPr="002C076A" w:rsidRDefault="00835DFE" w:rsidP="00585B0C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18</w:t>
      </w:r>
    </w:p>
    <w:p w:rsidR="00A56082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Расходы бюджета муниципального образования на общее образование в расчете на 1 обучающегося в муниципальных </w:t>
      </w:r>
      <w:r w:rsidR="00A56082" w:rsidRPr="002C076A">
        <w:rPr>
          <w:b/>
          <w:i/>
          <w:color w:val="000000" w:themeColor="text1"/>
        </w:rPr>
        <w:t>общеобразовательных учреждениях</w:t>
      </w:r>
    </w:p>
    <w:p w:rsidR="00835DFE" w:rsidRPr="002C076A" w:rsidRDefault="00835DFE" w:rsidP="00A56082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Расходы на общее образование в расчете на 1 обучающегося в муниципальных общеобразовательных учреждениях рассчитаны в соответствии с утвержденным бюджетом муниципального образования,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на 2022 год составили 27,59 тыс. руб.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19</w:t>
      </w:r>
    </w:p>
    <w:p w:rsidR="00A56082" w:rsidRPr="002C076A" w:rsidRDefault="00585B0C" w:rsidP="00512F5A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 w:rsidR="00512F5A" w:rsidRPr="002C076A">
        <w:rPr>
          <w:b/>
          <w:i/>
          <w:color w:val="000000" w:themeColor="text1"/>
        </w:rPr>
        <w:t xml:space="preserve"> детей данной возрастной группы</w:t>
      </w:r>
    </w:p>
    <w:p w:rsidR="00835DFE" w:rsidRPr="002C076A" w:rsidRDefault="00835DFE" w:rsidP="00A56082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Фактическое значение данного показателя за 2022 год составит 80,37% (за 2021 </w:t>
      </w:r>
      <w:r w:rsidR="008B3E4E" w:rsidRPr="002C076A">
        <w:rPr>
          <w:color w:val="000000" w:themeColor="text1"/>
        </w:rPr>
        <w:t>год – 79,33%). В прогнозные 2023</w:t>
      </w:r>
      <w:r w:rsidRPr="002C076A">
        <w:rPr>
          <w:color w:val="000000" w:themeColor="text1"/>
        </w:rPr>
        <w:t>-2025 годы осуществляется поэтапное 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за счет увеличения количества детей в связи с улучшением демографической ситуации, а также проведением мероприятий по вовлечению данной категории детей в сферу дополнительного образования, внедрением системы дополнительного образования Ленинградской области «Навигатор дополнительного образования».</w:t>
      </w:r>
    </w:p>
    <w:p w:rsidR="00585B0C" w:rsidRPr="002C076A" w:rsidRDefault="00585B0C" w:rsidP="008B113B">
      <w:pPr>
        <w:jc w:val="both"/>
        <w:rPr>
          <w:color w:val="000000" w:themeColor="text1"/>
        </w:rPr>
      </w:pPr>
    </w:p>
    <w:p w:rsidR="008B113B" w:rsidRPr="002C076A" w:rsidRDefault="008B113B" w:rsidP="008B113B">
      <w:pPr>
        <w:jc w:val="both"/>
        <w:rPr>
          <w:b/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2C076A">
        <w:rPr>
          <w:b/>
          <w:bCs/>
          <w:color w:val="000000" w:themeColor="text1"/>
          <w:sz w:val="28"/>
          <w:szCs w:val="28"/>
        </w:rPr>
        <w:t>. Культура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20 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Уровень фактической обеспеченности учреждениями культуры от нормативной потребности:</w:t>
      </w:r>
    </w:p>
    <w:p w:rsidR="00585B0C" w:rsidRPr="002C076A" w:rsidRDefault="00585B0C" w:rsidP="00585B0C">
      <w:pPr>
        <w:ind w:firstLine="708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клубами и учреждениями клубного типа</w:t>
      </w:r>
    </w:p>
    <w:p w:rsidR="00585B0C" w:rsidRPr="002C076A" w:rsidRDefault="00585B0C" w:rsidP="00585B0C">
      <w:pPr>
        <w:ind w:firstLine="708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библиотеками</w:t>
      </w:r>
    </w:p>
    <w:p w:rsidR="00C55055" w:rsidRPr="002C076A" w:rsidRDefault="009D719A" w:rsidP="00C55055">
      <w:pPr>
        <w:ind w:firstLine="708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парками культуры и отдыха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Уровень фактической обеспеченности учреждениями культуры от нормативной потребности: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- клубами и учреждениями клубного типа: 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За 2020 год - 84%, 2021 год - 84,27%, 2022 год - 84,27%, 2023 год - 84,27</w:t>
      </w:r>
      <w:r w:rsidR="00834339" w:rsidRPr="002C076A">
        <w:rPr>
          <w:color w:val="000000" w:themeColor="text1"/>
        </w:rPr>
        <w:t>%, 2024 год - 84,27%, 2025 год -</w:t>
      </w:r>
      <w:r w:rsidRPr="002C076A">
        <w:rPr>
          <w:color w:val="000000" w:themeColor="text1"/>
        </w:rPr>
        <w:t xml:space="preserve"> 84,27%.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 xml:space="preserve"> Показатель рассчитан согласно методическим рекомендациям с учётом корректировки.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библиотеками: 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За 2020 год - 87%, 2021 год - 95%, 2022 год - 75%, 2023 год - 75%, 2024 год - 75%, </w:t>
      </w:r>
      <w:r w:rsidR="00834339" w:rsidRPr="002C076A">
        <w:rPr>
          <w:color w:val="000000" w:themeColor="text1"/>
        </w:rPr>
        <w:t>2025 год -</w:t>
      </w:r>
      <w:r w:rsidRPr="002C076A">
        <w:rPr>
          <w:color w:val="000000" w:themeColor="text1"/>
        </w:rPr>
        <w:t xml:space="preserve"> 75%. 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рассчитан согласно методическим рекомендациям с учётом корректировки.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парками культуры и отдыха - 0 % в связи с отсутствием официальных парков культуры и отдыха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Показатель по уровню фактической обеспеченности библиотеками уменьшился по сравнению с 2021 годом с 95% до 75%. Расчет данного показателя зависит от годовой численности населения. Уменьшение произошло по причине сокращения двух библиотек с 27 до 25 штук (Ульяновская сельская и городская библиотеки объединились, закрылась одна из двух </w:t>
      </w:r>
      <w:proofErr w:type="spellStart"/>
      <w:r w:rsidRPr="002C076A">
        <w:rPr>
          <w:color w:val="000000" w:themeColor="text1"/>
        </w:rPr>
        <w:t>Любанских</w:t>
      </w:r>
      <w:proofErr w:type="spellEnd"/>
      <w:r w:rsidRPr="002C076A">
        <w:rPr>
          <w:color w:val="000000" w:themeColor="text1"/>
        </w:rPr>
        <w:t xml:space="preserve"> библиотек) и увеличения численности населения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с 120 734 человек до 133 109 человек (рост составил 12 375 человек). Самый большой рост зафиксирован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 с 13 191 человек до 27 029 человек.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21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2020 год - 4,76%, 2021 год - 2,38%, 2022 год - 0%, 2023 год - 0%, 2024 год - 0%, 2025 год - 0%.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данным официальной статистической отчетности 7-НК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 за год 2022 не требуется проведения капитального ремонта зданий муниципальных учреждений культуры. На 2023 год и плановый период 2024-2025 годов обращений от руководителей учреждений культуры о проведении обследования используемых зданий на предмет составления актов об аварийном состоянии не поступало.</w:t>
      </w:r>
    </w:p>
    <w:p w:rsidR="009D719A" w:rsidRPr="002C076A" w:rsidRDefault="009D719A" w:rsidP="00E0642F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22</w:t>
      </w:r>
    </w:p>
    <w:p w:rsidR="00585B0C" w:rsidRPr="002C076A" w:rsidRDefault="00585B0C" w:rsidP="00585B0C">
      <w:pPr>
        <w:ind w:firstLine="707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2020 год - 33%, 2021 год - 33%, 2022 год - 33%, 2023 год -  </w:t>
      </w:r>
      <w:r w:rsidR="00183525" w:rsidRPr="002C076A">
        <w:rPr>
          <w:color w:val="000000" w:themeColor="text1"/>
        </w:rPr>
        <w:t>33%, 2024 год -  33%, 2024 год - 33%, 2025 год -</w:t>
      </w:r>
      <w:r w:rsidRPr="002C076A">
        <w:rPr>
          <w:color w:val="000000" w:themeColor="text1"/>
        </w:rPr>
        <w:t xml:space="preserve"> 33%. 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рассчитан, исходя из необходимости проведения частичной реставрации объекта культуры, расположенного по адресу</w:t>
      </w:r>
      <w:r w:rsidR="003E290A" w:rsidRPr="002C076A">
        <w:rPr>
          <w:color w:val="000000" w:themeColor="text1"/>
        </w:rPr>
        <w:t>:</w:t>
      </w:r>
      <w:r w:rsidRPr="002C076A">
        <w:rPr>
          <w:color w:val="000000" w:themeColor="text1"/>
        </w:rPr>
        <w:t xml:space="preserve"> г. Тосно, пр. Ленина, д.50 с пролонгацией восстановительных работ.</w:t>
      </w:r>
    </w:p>
    <w:p w:rsidR="00585B0C" w:rsidRPr="002C076A" w:rsidRDefault="00585B0C" w:rsidP="00585B0C">
      <w:pPr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2C076A">
        <w:rPr>
          <w:b/>
          <w:bCs/>
          <w:color w:val="000000" w:themeColor="text1"/>
          <w:sz w:val="28"/>
          <w:szCs w:val="28"/>
        </w:rPr>
        <w:t>. Физическая культура и спорт</w:t>
      </w:r>
    </w:p>
    <w:p w:rsidR="00585B0C" w:rsidRPr="002C076A" w:rsidRDefault="00585B0C" w:rsidP="00585B0C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ab/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23 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Доля населения, систематически занимающегося физической культурой и спортом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Доля населения, занимающихся физической культурой и спортом представлена на основании данных федерального статистического наблюдения по форме №1-ФК «Сведения о физической культуре и спорту»: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2020г. – 39,93%, 2021г. – 43,23%, 2022г. – 46,01%, 2023г. – 50,00%, </w:t>
      </w:r>
      <w:r w:rsidR="00BA0B68" w:rsidRPr="002C076A">
        <w:rPr>
          <w:rFonts w:eastAsia="Times New Roman"/>
          <w:color w:val="000000" w:themeColor="text1"/>
        </w:rPr>
        <w:t>2024г. – 54,0%, 2025</w:t>
      </w:r>
      <w:r w:rsidRPr="002C076A">
        <w:rPr>
          <w:rFonts w:eastAsia="Times New Roman"/>
          <w:color w:val="000000" w:themeColor="text1"/>
        </w:rPr>
        <w:t>г. – 57,0%.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За 2022 год: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lastRenderedPageBreak/>
        <w:t>Численность населения, систематически занимающегося физической культурой и спортом: 52076 чел.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Численность населения в возрасте 3-79 лет: 113 184 чел.</w:t>
      </w:r>
      <w:r w:rsidR="004B009C" w:rsidRPr="002C076A">
        <w:rPr>
          <w:rFonts w:eastAsia="Times New Roman"/>
          <w:color w:val="000000" w:themeColor="text1"/>
        </w:rPr>
        <w:t xml:space="preserve"> </w:t>
      </w:r>
      <w:r w:rsidRPr="002C076A">
        <w:rPr>
          <w:rFonts w:eastAsia="Times New Roman"/>
          <w:color w:val="000000" w:themeColor="text1"/>
        </w:rPr>
        <w:t>(приводятся данные о численности детей указанной возрастной группы за предыдущий год (без пересчета итогов ВПН-2020).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Показатель 23: 52076/113184*100% = 46,01%.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Выполнен плановый показатель, рост данного показателя относительно фактических значений 2021 года составил 2,78% (46,01-43,23=2,78%). 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Развитие физической культуры и спорта 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осуществляется в рамках муниципальных программ, разработанных на уровне муниципального района и поселений. По статистическим данным (форма 1-ФК) за 2022 год 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проведено 214 физкультурных и спортивных мероприятий, в том числе первенства, чемпионаты, турниры и районные соревнования по лыжным гонкам, плаванию, синхронному плаванию, дзюдо, легкой атлетике, мини-футболу, футболу, гиревому спорту, теннису, </w:t>
      </w:r>
      <w:proofErr w:type="spellStart"/>
      <w:r w:rsidRPr="002C076A">
        <w:rPr>
          <w:rFonts w:eastAsia="Times New Roman"/>
          <w:color w:val="000000" w:themeColor="text1"/>
        </w:rPr>
        <w:t>мас-рестлингу</w:t>
      </w:r>
      <w:proofErr w:type="spellEnd"/>
      <w:r w:rsidRPr="002C076A">
        <w:rPr>
          <w:rFonts w:eastAsia="Times New Roman"/>
          <w:color w:val="000000" w:themeColor="text1"/>
        </w:rPr>
        <w:t>, тхэквондо, шахматам, комплексные мероприятия и мероприятия комплекса ГТО.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На терр</w:t>
      </w:r>
      <w:r w:rsidR="00BA0B68" w:rsidRPr="002C076A">
        <w:rPr>
          <w:rFonts w:eastAsia="Times New Roman"/>
          <w:color w:val="000000" w:themeColor="text1"/>
        </w:rPr>
        <w:t xml:space="preserve">итории </w:t>
      </w:r>
      <w:proofErr w:type="spellStart"/>
      <w:r w:rsidR="00BA0B68" w:rsidRPr="002C076A">
        <w:rPr>
          <w:rFonts w:eastAsia="Times New Roman"/>
          <w:color w:val="000000" w:themeColor="text1"/>
        </w:rPr>
        <w:t>Тосненского</w:t>
      </w:r>
      <w:proofErr w:type="spellEnd"/>
      <w:r w:rsidR="00BA0B68" w:rsidRPr="002C076A">
        <w:rPr>
          <w:rFonts w:eastAsia="Times New Roman"/>
          <w:color w:val="000000" w:themeColor="text1"/>
        </w:rPr>
        <w:t xml:space="preserve"> района в 2022</w:t>
      </w:r>
      <w:r w:rsidRPr="002C076A">
        <w:rPr>
          <w:rFonts w:eastAsia="Times New Roman"/>
          <w:color w:val="000000" w:themeColor="text1"/>
        </w:rPr>
        <w:t xml:space="preserve"> году осуществляли деятельность 4 муниципальных учреждения в сфере физической культуры и спорта: в г. Тосно - МБУ «Спортивный центр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района», МКУ «</w:t>
      </w:r>
      <w:proofErr w:type="spellStart"/>
      <w:r w:rsidRPr="002C076A">
        <w:rPr>
          <w:rFonts w:eastAsia="Times New Roman"/>
          <w:color w:val="000000" w:themeColor="text1"/>
        </w:rPr>
        <w:t>Тосненская</w:t>
      </w:r>
      <w:proofErr w:type="spellEnd"/>
      <w:r w:rsidRPr="002C076A">
        <w:rPr>
          <w:rFonts w:eastAsia="Times New Roman"/>
          <w:color w:val="000000" w:themeColor="text1"/>
        </w:rPr>
        <w:t xml:space="preserve"> СШОР по дзюдо», МКУ «СДЦ «Атлант» и в г. Никольское МКУ «СДЦ «Надежда».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Также выполнению данного показателя послужило введение в эксплуатацию нового спортивного комплекса «Академия </w:t>
      </w:r>
      <w:proofErr w:type="spellStart"/>
      <w:r w:rsidRPr="002C076A">
        <w:rPr>
          <w:rFonts w:eastAsia="Times New Roman"/>
          <w:color w:val="000000" w:themeColor="text1"/>
        </w:rPr>
        <w:t>футзала</w:t>
      </w:r>
      <w:proofErr w:type="spellEnd"/>
      <w:r w:rsidRPr="002C076A">
        <w:rPr>
          <w:rFonts w:eastAsia="Times New Roman"/>
          <w:color w:val="000000" w:themeColor="text1"/>
        </w:rPr>
        <w:t>» (ООО «</w:t>
      </w:r>
      <w:proofErr w:type="spellStart"/>
      <w:r w:rsidRPr="002C076A">
        <w:rPr>
          <w:rFonts w:eastAsia="Times New Roman"/>
          <w:color w:val="000000" w:themeColor="text1"/>
        </w:rPr>
        <w:t>Оптима</w:t>
      </w:r>
      <w:proofErr w:type="spellEnd"/>
      <w:r w:rsidRPr="002C076A">
        <w:rPr>
          <w:rFonts w:eastAsia="Times New Roman"/>
          <w:color w:val="000000" w:themeColor="text1"/>
        </w:rPr>
        <w:t>»)</w:t>
      </w:r>
      <w:r w:rsidR="00BA0B68" w:rsidRPr="002C076A">
        <w:rPr>
          <w:rFonts w:eastAsia="Times New Roman"/>
          <w:color w:val="000000" w:themeColor="text1"/>
        </w:rPr>
        <w:t xml:space="preserve"> в г. Тосно</w:t>
      </w:r>
      <w:r w:rsidRPr="002C076A">
        <w:rPr>
          <w:rFonts w:eastAsia="Times New Roman"/>
          <w:color w:val="000000" w:themeColor="text1"/>
        </w:rPr>
        <w:t xml:space="preserve">, а также увеличение городской инфраструктуры – в </w:t>
      </w:r>
      <w:proofErr w:type="spellStart"/>
      <w:r w:rsidRPr="002C076A">
        <w:rPr>
          <w:rFonts w:eastAsia="Times New Roman"/>
          <w:color w:val="000000" w:themeColor="text1"/>
        </w:rPr>
        <w:t>г.п</w:t>
      </w:r>
      <w:proofErr w:type="spellEnd"/>
      <w:r w:rsidRPr="002C076A">
        <w:rPr>
          <w:rFonts w:eastAsia="Times New Roman"/>
          <w:color w:val="000000" w:themeColor="text1"/>
        </w:rPr>
        <w:t xml:space="preserve">. </w:t>
      </w:r>
      <w:proofErr w:type="spellStart"/>
      <w:r w:rsidRPr="002C076A">
        <w:rPr>
          <w:rFonts w:eastAsia="Times New Roman"/>
          <w:color w:val="000000" w:themeColor="text1"/>
        </w:rPr>
        <w:t>Форносово</w:t>
      </w:r>
      <w:proofErr w:type="spellEnd"/>
      <w:r w:rsidRPr="002C076A">
        <w:rPr>
          <w:rFonts w:eastAsia="Times New Roman"/>
          <w:color w:val="000000" w:themeColor="text1"/>
        </w:rPr>
        <w:t xml:space="preserve"> обустроена площадка со спортивными тренажерами, турниками, </w:t>
      </w:r>
      <w:proofErr w:type="spellStart"/>
      <w:r w:rsidRPr="002C076A">
        <w:rPr>
          <w:rFonts w:eastAsia="Times New Roman"/>
          <w:color w:val="000000" w:themeColor="text1"/>
        </w:rPr>
        <w:t>скалодромом</w:t>
      </w:r>
      <w:proofErr w:type="spellEnd"/>
      <w:r w:rsidRPr="002C076A">
        <w:rPr>
          <w:rFonts w:eastAsia="Times New Roman"/>
          <w:color w:val="000000" w:themeColor="text1"/>
        </w:rPr>
        <w:t xml:space="preserve"> и велодорожкой, в п. Тельмана – площадка с тренажерным и гимнастическим комплексом, игровая площадка.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23.1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обучающихся, систематически занимающегося физической культурой и спортом, в общей численности обучающихся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2020г. – 98,0%, 2021г.– 98%, 2022г. – 98%, 2023г. – 98,05%, 2024г. – 98,10%, 2025г. – 98,15%.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За 2022 год: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Численность обучающихся, систематически занимающихся физической культурой и спортом: 16705 чел.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Численность населения в возрасте 3-18 лет: 17045 чел.</w:t>
      </w:r>
      <w:r w:rsidRPr="002C076A">
        <w:rPr>
          <w:color w:val="000000" w:themeColor="text1"/>
        </w:rPr>
        <w:t xml:space="preserve"> </w:t>
      </w:r>
      <w:r w:rsidRPr="002C076A">
        <w:rPr>
          <w:rFonts w:eastAsia="Times New Roman"/>
          <w:color w:val="000000" w:themeColor="text1"/>
        </w:rPr>
        <w:t>(приводятся данные о численности детей указанной возрастной группы за предыдущий год (без пересчета итогов ВПН-2020).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Показатель 23.1: 16705/17045*100% = 98,00%.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Данный показатель относительно фактических значений 2021 года остался на прежнем уровне. Сохранению данного показателя на высоком уровне послужило следующее: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В </w:t>
      </w:r>
      <w:proofErr w:type="spellStart"/>
      <w:r w:rsidRPr="002C076A">
        <w:rPr>
          <w:rFonts w:eastAsia="Times New Roman"/>
          <w:color w:val="000000" w:themeColor="text1"/>
        </w:rPr>
        <w:t>Тосненском</w:t>
      </w:r>
      <w:proofErr w:type="spellEnd"/>
      <w:r w:rsidRPr="002C076A">
        <w:rPr>
          <w:rFonts w:eastAsia="Times New Roman"/>
          <w:color w:val="000000" w:themeColor="text1"/>
        </w:rPr>
        <w:t xml:space="preserve"> районе существуют 27 школьных спортивных клубов, созданных в общеобразовательных организациях.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</w:t>
      </w:r>
      <w:r w:rsidRPr="002C076A">
        <w:rPr>
          <w:rFonts w:eastAsia="Times New Roman"/>
          <w:color w:val="000000" w:themeColor="text1"/>
        </w:rPr>
        <w:tab/>
        <w:t>Функционируют объединения физкультурно-спортивной направленности в учреждении дополнительного образования - МБОУ ДО «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районный детско-юношеский центр»;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</w:t>
      </w:r>
      <w:r w:rsidRPr="002C076A">
        <w:rPr>
          <w:rFonts w:eastAsia="Times New Roman"/>
          <w:color w:val="000000" w:themeColor="text1"/>
        </w:rPr>
        <w:tab/>
        <w:t xml:space="preserve">Осуществляют работу секции в муниципальных физкультурно-спортивных организациях – МБУ «Спортивный центр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района», МКУ «</w:t>
      </w:r>
      <w:proofErr w:type="spellStart"/>
      <w:r w:rsidRPr="002C076A">
        <w:rPr>
          <w:rFonts w:eastAsia="Times New Roman"/>
          <w:color w:val="000000" w:themeColor="text1"/>
        </w:rPr>
        <w:t>Тосненская</w:t>
      </w:r>
      <w:proofErr w:type="spellEnd"/>
      <w:r w:rsidRPr="002C076A">
        <w:rPr>
          <w:rFonts w:eastAsia="Times New Roman"/>
          <w:color w:val="000000" w:themeColor="text1"/>
        </w:rPr>
        <w:t xml:space="preserve"> СШОР по дзюдо», МКУ «СДЦ «Атлант» и МКУ «СДЦ Надежда», а также в частных организациях физкультурно-спортивной направленности;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lastRenderedPageBreak/>
        <w:t></w:t>
      </w:r>
      <w:r w:rsidRPr="002C076A">
        <w:rPr>
          <w:rFonts w:eastAsia="Times New Roman"/>
          <w:color w:val="000000" w:themeColor="text1"/>
        </w:rPr>
        <w:tab/>
        <w:t xml:space="preserve">3 муниципальных учреждения осуществляют спортивную подготовку среди детей - МБУ «Спортивный центр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района», МКУ «</w:t>
      </w:r>
      <w:proofErr w:type="spellStart"/>
      <w:r w:rsidRPr="002C076A">
        <w:rPr>
          <w:rFonts w:eastAsia="Times New Roman"/>
          <w:color w:val="000000" w:themeColor="text1"/>
        </w:rPr>
        <w:t>Тосненская</w:t>
      </w:r>
      <w:proofErr w:type="spellEnd"/>
      <w:r w:rsidRPr="002C076A">
        <w:rPr>
          <w:rFonts w:eastAsia="Times New Roman"/>
          <w:color w:val="000000" w:themeColor="text1"/>
        </w:rPr>
        <w:t xml:space="preserve"> СШОР по дзюдо», МКУ «СДЦ «Атлант».</w:t>
      </w:r>
    </w:p>
    <w:p w:rsidR="00D21DC8" w:rsidRPr="002C076A" w:rsidRDefault="00D21DC8" w:rsidP="00BA0B68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VI</w:t>
      </w:r>
      <w:r w:rsidRPr="002C076A">
        <w:rPr>
          <w:b/>
          <w:bCs/>
          <w:color w:val="000000" w:themeColor="text1"/>
          <w:sz w:val="28"/>
          <w:szCs w:val="28"/>
        </w:rPr>
        <w:t>. Жилищное строительство и обеспечение граждан жильем</w:t>
      </w:r>
    </w:p>
    <w:p w:rsidR="00585B0C" w:rsidRPr="002C076A" w:rsidRDefault="00585B0C" w:rsidP="00585B0C">
      <w:pPr>
        <w:tabs>
          <w:tab w:val="left" w:pos="993"/>
        </w:tabs>
        <w:jc w:val="both"/>
        <w:rPr>
          <w:b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24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Общая площадь жилых помещений, приходящаяся в среднем на одного жителя, - всего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том числе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введенная в действие за один год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24 определяется как отношение общей площади всех жилых помещений в жилых и нежилых зданиях, введенных в установленном порядке в эксплуатацию и построенных населением в отчетном году, к среднегодовой численности постоянного населения. В том числе введенная в действие за один год (показатель 24.1)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2021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Численность населения на 01.01.22 составила – 120,734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Показатель 24: 4028,74/120,734 = 33,37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2021 год составил 158,582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Численность населения на 01.01.22 составила – 120,734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(158,582/120,734) = 1,31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2022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Среднегодовая численность за 2022 год составила – 134,3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</w:t>
      </w:r>
      <w:proofErr w:type="gramStart"/>
      <w:r w:rsidRPr="002C076A">
        <w:rPr>
          <w:color w:val="000000" w:themeColor="text1"/>
        </w:rPr>
        <w:t>865)/</w:t>
      </w:r>
      <w:proofErr w:type="gramEnd"/>
      <w:r w:rsidRPr="002C076A">
        <w:rPr>
          <w:color w:val="000000" w:themeColor="text1"/>
        </w:rPr>
        <w:t xml:space="preserve">134,3 = 31,50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–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Среднегодовая численность за 2022 год составила – 134,3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(201,865/134,3) = 1,50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2023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год*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2023 год – 134,5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(4028,74+201,865+139,</w:t>
      </w:r>
      <w:proofErr w:type="gramStart"/>
      <w:r w:rsidRPr="002C076A">
        <w:rPr>
          <w:color w:val="000000" w:themeColor="text1"/>
        </w:rPr>
        <w:t>00)/</w:t>
      </w:r>
      <w:proofErr w:type="gramEnd"/>
      <w:r w:rsidRPr="002C076A">
        <w:rPr>
          <w:color w:val="000000" w:themeColor="text1"/>
        </w:rPr>
        <w:t xml:space="preserve">134,5 = 32,49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2023 год – 134,5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(139,0/134,5) = 1,03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2024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Планируемый объем ввода за 2024 год – (139,</w:t>
      </w:r>
      <w:proofErr w:type="gramStart"/>
      <w:r w:rsidRPr="002C076A">
        <w:rPr>
          <w:color w:val="000000" w:themeColor="text1"/>
        </w:rPr>
        <w:t>00  х</w:t>
      </w:r>
      <w:proofErr w:type="gramEnd"/>
      <w:r w:rsidRPr="002C076A">
        <w:rPr>
          <w:color w:val="000000" w:themeColor="text1"/>
        </w:rPr>
        <w:t xml:space="preserve"> 11%) =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Прогнозная среднегодовая численность населения за 2024 год – 135,9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(4028,74+201,865+139,00 + 154,</w:t>
      </w:r>
      <w:proofErr w:type="gramStart"/>
      <w:r w:rsidRPr="002C076A">
        <w:rPr>
          <w:color w:val="000000" w:themeColor="text1"/>
        </w:rPr>
        <w:t>29)/</w:t>
      </w:r>
      <w:proofErr w:type="gramEnd"/>
      <w:r w:rsidRPr="002C076A">
        <w:rPr>
          <w:color w:val="000000" w:themeColor="text1"/>
        </w:rPr>
        <w:t xml:space="preserve">135,9 = 33,29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2024 год –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2024 год – 135,9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(154,29/135,9) = 1,14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2025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2024 год – (139,00 х 11%) =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2025 год –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2025 год – 135,7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(4028,74+201,865+139,00 +154,29+154,</w:t>
      </w:r>
      <w:proofErr w:type="gramStart"/>
      <w:r w:rsidRPr="002C076A">
        <w:rPr>
          <w:color w:val="000000" w:themeColor="text1"/>
        </w:rPr>
        <w:t>29)/</w:t>
      </w:r>
      <w:proofErr w:type="gramEnd"/>
      <w:r w:rsidRPr="002C076A">
        <w:rPr>
          <w:color w:val="000000" w:themeColor="text1"/>
        </w:rPr>
        <w:t xml:space="preserve">135,7= 34,47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2025 год –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2025 год – 135,7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(154,29/135,7) = 1,14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4464B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Вывод: снижение значений показателей 24 и 24.1 на плановый период 2023 года обусловлен значительным увеличением численности населения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муниципального района, а также установлением комитетом по строительству Ленинградской области планируемого объема ввода на 2023 год равного 139,0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076A">
        <w:rPr>
          <w:color w:val="000000" w:themeColor="text1"/>
        </w:rPr>
        <w:t>* - Планируемый объем ввода на 2023 – данные рассчитаны комитетом по строительству Ленинградской области в соответствии с общим показателем по вводу жилья на территории Ленинградской области (не подлежат изменению).</w:t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25</w:t>
      </w:r>
    </w:p>
    <w:p w:rsidR="00585B0C" w:rsidRPr="002C076A" w:rsidRDefault="00585B0C" w:rsidP="00585B0C">
      <w:pPr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Площадь земельных участков, предоставленных для строительства в расчете на 10 тыс. человек населения, - всего</w:t>
      </w:r>
    </w:p>
    <w:p w:rsidR="00585B0C" w:rsidRPr="002C076A" w:rsidRDefault="00585B0C" w:rsidP="00585B0C">
      <w:pPr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в том числе</w:t>
      </w:r>
    </w:p>
    <w:p w:rsidR="00585B0C" w:rsidRPr="002C076A" w:rsidRDefault="00585B0C" w:rsidP="00585B0C">
      <w:pPr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Площадь земельных участков, предоставленных для строительства, в расчете на 10 тыс. человек населения, в том числе для жилищного строительства, индивидуального жилищного строительства и комплексного освоения в целях жилищного строительства определяется как отношение их площади к среднегодовой численности населения умноженное на 10000 человек населения.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Площадь земельных участков, предоставленных для строительства в 2022 году, определена как сумма земельных участков, предоставленных для строительства после предварительного согласования предоставления, в соответствии с проведенными аукционами и публикациями извещений о предоставлении земельных участков в аренду и в собственность, а также планируемые земельные участки льготным категориям граждан.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На 2023 год включена ожидаемая площадь предоставления под строительство из земельных участков, планируемых для предоставления льготным категориям граждан и по планируемым аукционам в 2023 году.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На последующие годы включены ожидаемые цифры от продажи земельных участков для жилищного строительства на аукционах и предоставления земельных участков для строительства после предварительного согласования предоставления.</w:t>
      </w:r>
    </w:p>
    <w:p w:rsidR="00BE11FE" w:rsidRPr="002C076A" w:rsidRDefault="00BE11FE" w:rsidP="003F4E7E">
      <w:pPr>
        <w:ind w:firstLine="567"/>
        <w:jc w:val="both"/>
        <w:rPr>
          <w:b/>
          <w:color w:val="000000" w:themeColor="text1"/>
        </w:rPr>
      </w:pP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2020 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24,8 га/125236 чел.*10000чел.= 1,98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9,1/125236 чел.*10000 чел.= 0,72 га</w:t>
      </w:r>
    </w:p>
    <w:p w:rsidR="007942A3" w:rsidRPr="002C076A" w:rsidRDefault="007942A3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7942A3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2021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всего: 32,9 га/122145 чел.* 10000чел.= </w:t>
      </w:r>
      <w:r w:rsidR="00104ED0" w:rsidRPr="002C076A">
        <w:rPr>
          <w:color w:val="000000" w:themeColor="text1"/>
        </w:rPr>
        <w:t>2,69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25,4 га/122145 чел.* 10000чел.= 2,07 га</w:t>
      </w:r>
    </w:p>
    <w:p w:rsidR="007942A3" w:rsidRPr="002C076A" w:rsidRDefault="007942A3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7942A3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2022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37,1 га/134297 чел.*10000чел.= 2,76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</w:t>
      </w:r>
      <w:r w:rsidR="00104ED0" w:rsidRPr="002C076A">
        <w:rPr>
          <w:color w:val="000000" w:themeColor="text1"/>
        </w:rPr>
        <w:t xml:space="preserve"> 30,1 га/134297 чел.*10000чел.=2,24 га</w:t>
      </w:r>
    </w:p>
    <w:p w:rsidR="007942A3" w:rsidRPr="002C076A" w:rsidRDefault="007942A3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7942A3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2023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37,3 га/134554 чел.*10000чел.= 2,77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31,0 га/134554 чел.*10000чел.= 2,3 га</w:t>
      </w:r>
    </w:p>
    <w:p w:rsidR="00F63927" w:rsidRPr="002C076A" w:rsidRDefault="00F63927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F63927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2024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всего: 37,9 га/135910 чел.*10000чел.= </w:t>
      </w:r>
      <w:r w:rsidR="00104ED0" w:rsidRPr="002C076A">
        <w:rPr>
          <w:color w:val="000000" w:themeColor="text1"/>
        </w:rPr>
        <w:t>2,79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</w:t>
      </w:r>
      <w:r w:rsidR="0002034E" w:rsidRPr="002C076A">
        <w:rPr>
          <w:color w:val="000000" w:themeColor="text1"/>
        </w:rPr>
        <w:t xml:space="preserve"> КО: 31,3 га/135910</w:t>
      </w:r>
      <w:r w:rsidRPr="002C076A">
        <w:rPr>
          <w:color w:val="000000" w:themeColor="text1"/>
        </w:rPr>
        <w:t xml:space="preserve"> чел.*10000чел.= 2,3 га</w:t>
      </w:r>
    </w:p>
    <w:p w:rsidR="00F63927" w:rsidRPr="002C076A" w:rsidRDefault="00F63927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F63927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2025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38,2 га/135740 чел.*10000чел.= 2,81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31,5 га/135740 чел.* 10000чел.= 2,32 га</w:t>
      </w:r>
    </w:p>
    <w:p w:rsidR="00585B0C" w:rsidRPr="002C076A" w:rsidRDefault="00585B0C" w:rsidP="00F63927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26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объектов жилищного </w:t>
      </w:r>
      <w:proofErr w:type="gramStart"/>
      <w:r w:rsidRPr="002C076A">
        <w:rPr>
          <w:b/>
          <w:i/>
          <w:color w:val="000000" w:themeColor="text1"/>
        </w:rPr>
        <w:t xml:space="preserve">строительства  </w:t>
      </w:r>
      <w:r w:rsidRPr="002C076A">
        <w:rPr>
          <w:rFonts w:eastAsia="Times New Roman"/>
          <w:b/>
          <w:bCs/>
          <w:i/>
          <w:iCs/>
          <w:color w:val="000000" w:themeColor="text1"/>
        </w:rPr>
        <w:t>-</w:t>
      </w:r>
      <w:proofErr w:type="gramEnd"/>
      <w:r w:rsidRPr="002C076A">
        <w:rPr>
          <w:rFonts w:eastAsia="Times New Roman"/>
          <w:b/>
          <w:bCs/>
          <w:i/>
          <w:iCs/>
          <w:color w:val="000000" w:themeColor="text1"/>
        </w:rPr>
        <w:t xml:space="preserve"> в течение</w:t>
      </w:r>
      <w:r w:rsidRPr="002C076A">
        <w:rPr>
          <w:b/>
          <w:i/>
          <w:color w:val="000000" w:themeColor="text1"/>
        </w:rPr>
        <w:t xml:space="preserve"> 3 лет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2022 год – 17683,0</w:t>
      </w:r>
      <w:r w:rsidRPr="002C076A">
        <w:rPr>
          <w:rFonts w:eastAsia="Times New Roman"/>
          <w:color w:val="000000" w:themeColor="text1"/>
        </w:rPr>
        <w:t xml:space="preserve">‬ кв. метров, в </w:t>
      </w:r>
      <w:proofErr w:type="spellStart"/>
      <w:r w:rsidRPr="002C076A">
        <w:rPr>
          <w:rFonts w:eastAsia="Times New Roman"/>
          <w:color w:val="000000" w:themeColor="text1"/>
        </w:rPr>
        <w:t>т.ч</w:t>
      </w:r>
      <w:proofErr w:type="spellEnd"/>
      <w:r w:rsidRPr="002C076A">
        <w:rPr>
          <w:rFonts w:eastAsia="Times New Roman"/>
          <w:color w:val="000000" w:themeColor="text1"/>
        </w:rPr>
        <w:t>.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- з/у под строительство 5-этажного ж/д по адресу: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район, г. Любань, ул. Ленина, д. 30 площадью 5796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- з/у под строительство 3-этажного ж/д по адресу: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район, г. Любань, пр. Мельникова, д. 18б площадью 4419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- з/у под строительство кирпичного 6-этажного ж/д, ж/к «Нурма» по адресу: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район, д. Нурма, д. 24 площадью 7468 кв. метров.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2023 год – 17683,0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2024 год – 17683,0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2025 год – 17683,0</w:t>
      </w:r>
      <w:r w:rsidRPr="002C076A">
        <w:rPr>
          <w:rFonts w:eastAsia="Times New Roman"/>
          <w:color w:val="000000" w:themeColor="text1"/>
        </w:rPr>
        <w:t>‬ кв. метров.</w:t>
      </w:r>
    </w:p>
    <w:p w:rsidR="001242CC" w:rsidRPr="002C076A" w:rsidRDefault="001242CC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</w:rPr>
      </w:pPr>
      <w:r w:rsidRPr="002C076A">
        <w:rPr>
          <w:rFonts w:eastAsia="Times New Roman"/>
          <w:b/>
          <w:bCs/>
          <w:i/>
          <w:iCs/>
          <w:color w:val="000000" w:themeColor="text1"/>
        </w:rPr>
        <w:t xml:space="preserve">иных объектов капитального строительства – в течение 5 лет 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iCs/>
          <w:color w:val="000000" w:themeColor="text1"/>
        </w:rPr>
        <w:t xml:space="preserve">На территории </w:t>
      </w:r>
      <w:proofErr w:type="spellStart"/>
      <w:r w:rsidRPr="002C076A">
        <w:rPr>
          <w:rFonts w:eastAsia="Times New Roman"/>
          <w:bCs/>
          <w:iCs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bCs/>
          <w:iCs/>
          <w:color w:val="000000" w:themeColor="text1"/>
        </w:rPr>
        <w:t xml:space="preserve"> муниципального района Ленинградской области отсутствуют иные объекты капитального строительства, по которым выдано разрешение на строительство, и срок введения </w:t>
      </w:r>
      <w:proofErr w:type="gramStart"/>
      <w:r w:rsidRPr="002C076A">
        <w:rPr>
          <w:rFonts w:eastAsia="Times New Roman"/>
          <w:bCs/>
          <w:iCs/>
          <w:color w:val="000000" w:themeColor="text1"/>
        </w:rPr>
        <w:t>объекта</w:t>
      </w:r>
      <w:proofErr w:type="gramEnd"/>
      <w:r w:rsidRPr="002C076A">
        <w:rPr>
          <w:rFonts w:eastAsia="Times New Roman"/>
          <w:bCs/>
          <w:iCs/>
          <w:color w:val="000000" w:themeColor="text1"/>
        </w:rPr>
        <w:t xml:space="preserve"> по которому истек.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2022 год – 0,0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2023 год – 0,0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2024 год – 0,0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2025 год – 0,0</w:t>
      </w:r>
      <w:r w:rsidRPr="002C076A">
        <w:rPr>
          <w:rFonts w:eastAsia="Times New Roman"/>
          <w:color w:val="000000" w:themeColor="text1"/>
        </w:rPr>
        <w:t>‬ кв. метров.</w:t>
      </w:r>
    </w:p>
    <w:p w:rsidR="00723295" w:rsidRPr="002C076A" w:rsidRDefault="00723295" w:rsidP="00585B0C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lastRenderedPageBreak/>
        <w:t>VII</w:t>
      </w:r>
      <w:r w:rsidRPr="002C076A">
        <w:rPr>
          <w:b/>
          <w:bCs/>
          <w:color w:val="000000" w:themeColor="text1"/>
          <w:sz w:val="28"/>
          <w:szCs w:val="28"/>
        </w:rPr>
        <w:t>. Жилищно-коммунальное хозяйство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27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Данный показатель рассчитывается на основании федерального статистического наблюдения по форме № 22-ЖКХ (реформа) «Сведения о структурных преобразованиях и организационных мероприятиях в сфере жилищно-коммунального хозяйства».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 все собственники МКД определились с выбором способа самоуправления (ТСЖ, управляющая компания, либо непосредственное управление).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2020-2022 годах доля многоквартирных домов, в которых собственники помещений выбрали и реализуют один из способов управления составляла 100 %. 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2020-2022 гг.</w:t>
      </w:r>
      <w:r w:rsidR="00BE3B95" w:rsidRPr="002C076A">
        <w:rPr>
          <w:color w:val="000000" w:themeColor="text1"/>
        </w:rPr>
        <w:t xml:space="preserve"> - 1245</w:t>
      </w:r>
      <w:r w:rsidRPr="002C076A">
        <w:rPr>
          <w:color w:val="000000" w:themeColor="text1"/>
        </w:rPr>
        <w:t>/1245</w:t>
      </w:r>
      <w:r w:rsidR="00BE3B95" w:rsidRPr="002C076A">
        <w:rPr>
          <w:color w:val="000000" w:themeColor="text1"/>
        </w:rPr>
        <w:t>*100%</w:t>
      </w:r>
      <w:r w:rsidRPr="002C076A">
        <w:rPr>
          <w:color w:val="000000" w:themeColor="text1"/>
        </w:rPr>
        <w:t>=100%;</w:t>
      </w:r>
    </w:p>
    <w:p w:rsidR="00365C62" w:rsidRPr="002C076A" w:rsidRDefault="00365C6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2023-2025 годах данный показатель составит 100,0%.  </w:t>
      </w:r>
    </w:p>
    <w:p w:rsidR="00585B0C" w:rsidRPr="002C076A" w:rsidRDefault="00585B0C" w:rsidP="005716F3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tabs>
          <w:tab w:val="num" w:pos="0"/>
        </w:tabs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28</w:t>
      </w:r>
    </w:p>
    <w:p w:rsidR="00585B0C" w:rsidRPr="002C076A" w:rsidRDefault="00585B0C" w:rsidP="00585B0C">
      <w:pPr>
        <w:tabs>
          <w:tab w:val="num" w:pos="0"/>
        </w:tabs>
        <w:ind w:firstLine="360"/>
        <w:jc w:val="both"/>
        <w:rPr>
          <w:b/>
          <w:i/>
          <w:color w:val="000000" w:themeColor="text1"/>
        </w:rPr>
      </w:pPr>
      <w:r w:rsidRPr="002C076A">
        <w:rPr>
          <w:b/>
          <w:color w:val="000000" w:themeColor="text1"/>
        </w:rPr>
        <w:tab/>
      </w:r>
      <w:r w:rsidRPr="002C076A">
        <w:rPr>
          <w:b/>
          <w:i/>
          <w:color w:val="000000" w:themeColor="text1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BD498E" w:rsidRPr="002C076A" w:rsidRDefault="00BD498E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Данный показатель рассчитывается на основании федерального статистического наблюдения по форме № 22-ЖКХ (реформа) «Сведения о структурных преобразованиях и организационных мероприятиях в сфере жилищно-коммунального хозяйства».</w:t>
      </w:r>
    </w:p>
    <w:p w:rsidR="00BD498E" w:rsidRPr="002C076A" w:rsidRDefault="00BD498E" w:rsidP="00BD498E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В 2021 году показатель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округа, в уставном капитале которых составляет не более 25 процентов, в общем числе организаций коммунального комплекса составлял 82,61%.</w:t>
      </w:r>
    </w:p>
    <w:p w:rsidR="00BD498E" w:rsidRPr="002C076A" w:rsidRDefault="00BD498E" w:rsidP="00BD498E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 xml:space="preserve"> Повышение показателя к уровню 2020 года произошло в связи с включением в реестр предприятий ЖКХ, ведущих деятельность на территории </w:t>
      </w:r>
      <w:proofErr w:type="spellStart"/>
      <w:r w:rsidRPr="002C076A">
        <w:rPr>
          <w:bCs/>
          <w:color w:val="000000" w:themeColor="text1"/>
          <w:lang w:eastAsia="en-US"/>
        </w:rPr>
        <w:t>Тосненского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района Ленинградской области предприятий в сфере водоотведения – ООО «Восток», в сфере теплоснабжения – ООО «Агентство коммунальных услуг», в сфере газоснабжения – ООО «</w:t>
      </w:r>
      <w:proofErr w:type="spellStart"/>
      <w:r w:rsidRPr="002C076A">
        <w:rPr>
          <w:bCs/>
          <w:color w:val="000000" w:themeColor="text1"/>
          <w:lang w:eastAsia="en-US"/>
        </w:rPr>
        <w:t>ЛОГазинвест</w:t>
      </w:r>
      <w:proofErr w:type="spellEnd"/>
      <w:r w:rsidRPr="002C076A">
        <w:rPr>
          <w:bCs/>
          <w:color w:val="000000" w:themeColor="text1"/>
          <w:lang w:eastAsia="en-US"/>
        </w:rPr>
        <w:t>», ООО «</w:t>
      </w:r>
      <w:proofErr w:type="spellStart"/>
      <w:r w:rsidRPr="002C076A">
        <w:rPr>
          <w:bCs/>
          <w:color w:val="000000" w:themeColor="text1"/>
          <w:lang w:eastAsia="en-US"/>
        </w:rPr>
        <w:t>ИвЛайн</w:t>
      </w:r>
      <w:proofErr w:type="spellEnd"/>
      <w:r w:rsidRPr="002C076A">
        <w:rPr>
          <w:bCs/>
          <w:color w:val="000000" w:themeColor="text1"/>
          <w:lang w:eastAsia="en-US"/>
        </w:rPr>
        <w:t>», в сфере утилизации отходов – ООО «Эко Плант», ООО «</w:t>
      </w:r>
      <w:proofErr w:type="spellStart"/>
      <w:r w:rsidRPr="002C076A">
        <w:rPr>
          <w:bCs/>
          <w:color w:val="000000" w:themeColor="text1"/>
          <w:lang w:eastAsia="en-US"/>
        </w:rPr>
        <w:t>Респекто</w:t>
      </w:r>
      <w:proofErr w:type="spellEnd"/>
      <w:r w:rsidRPr="002C076A">
        <w:rPr>
          <w:bCs/>
          <w:color w:val="000000" w:themeColor="text1"/>
          <w:lang w:eastAsia="en-US"/>
        </w:rPr>
        <w:t>», ООО «</w:t>
      </w:r>
      <w:proofErr w:type="spellStart"/>
      <w:r w:rsidRPr="002C076A">
        <w:rPr>
          <w:bCs/>
          <w:color w:val="000000" w:themeColor="text1"/>
          <w:lang w:eastAsia="en-US"/>
        </w:rPr>
        <w:t>Экологистик</w:t>
      </w:r>
      <w:proofErr w:type="spellEnd"/>
      <w:r w:rsidRPr="002C076A">
        <w:rPr>
          <w:bCs/>
          <w:color w:val="000000" w:themeColor="text1"/>
          <w:lang w:eastAsia="en-US"/>
        </w:rPr>
        <w:t>», ООО «Ресурс АТЭ», ООО «Автопарк №6 «</w:t>
      </w:r>
      <w:proofErr w:type="spellStart"/>
      <w:r w:rsidRPr="002C076A">
        <w:rPr>
          <w:bCs/>
          <w:color w:val="000000" w:themeColor="text1"/>
          <w:lang w:eastAsia="en-US"/>
        </w:rPr>
        <w:t>Спецтранс</w:t>
      </w:r>
      <w:proofErr w:type="spellEnd"/>
      <w:r w:rsidRPr="002C076A">
        <w:rPr>
          <w:bCs/>
          <w:color w:val="000000" w:themeColor="text1"/>
          <w:lang w:eastAsia="en-US"/>
        </w:rPr>
        <w:t>».</w:t>
      </w:r>
    </w:p>
    <w:p w:rsidR="00B87EE1" w:rsidRPr="002C076A" w:rsidRDefault="00B87EE1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В 2022 году показатель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округа, в уставном капитале которых составляет не более 25 процентов, в общем числе организаций коммунального комплекса составил 75%.</w:t>
      </w:r>
    </w:p>
    <w:p w:rsidR="00B87EE1" w:rsidRPr="002C076A" w:rsidRDefault="00B87EE1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lastRenderedPageBreak/>
        <w:t>Показатель рассчитывается как отношение 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округа, в уставном капитале которых составляет не более 25 процентов (в 2022 году – 18 предприятий) к общему числу организаций коммунального комплекса (в 2022 году – 24 предприятия). Результат умножается на 100%.</w:t>
      </w:r>
    </w:p>
    <w:p w:rsidR="00B87EE1" w:rsidRPr="002C076A" w:rsidRDefault="00B87EE1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18/24*100%=75%</w:t>
      </w:r>
    </w:p>
    <w:p w:rsidR="00B87EE1" w:rsidRPr="002C076A" w:rsidRDefault="00B87EE1" w:rsidP="00C32873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 xml:space="preserve">Уменьшение показателя к уровню 2021 года произошло по причине передачи администрацией </w:t>
      </w:r>
      <w:proofErr w:type="spellStart"/>
      <w:r w:rsidRPr="002C076A">
        <w:rPr>
          <w:bCs/>
          <w:color w:val="000000" w:themeColor="text1"/>
          <w:lang w:eastAsia="en-US"/>
        </w:rPr>
        <w:t>Любанского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</w:t>
      </w:r>
      <w:proofErr w:type="spellStart"/>
      <w:r w:rsidRPr="002C076A">
        <w:rPr>
          <w:bCs/>
          <w:color w:val="000000" w:themeColor="text1"/>
          <w:lang w:eastAsia="en-US"/>
        </w:rPr>
        <w:t>г.п</w:t>
      </w:r>
      <w:proofErr w:type="spellEnd"/>
      <w:r w:rsidRPr="002C076A">
        <w:rPr>
          <w:bCs/>
          <w:color w:val="000000" w:themeColor="text1"/>
          <w:lang w:eastAsia="en-US"/>
        </w:rPr>
        <w:t xml:space="preserve">. </w:t>
      </w:r>
      <w:proofErr w:type="spellStart"/>
      <w:r w:rsidRPr="002C076A">
        <w:rPr>
          <w:bCs/>
          <w:color w:val="000000" w:themeColor="text1"/>
          <w:lang w:eastAsia="en-US"/>
        </w:rPr>
        <w:t>Тосненского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района Ленинградской области предприятию ГУП «</w:t>
      </w:r>
      <w:proofErr w:type="spellStart"/>
      <w:r w:rsidRPr="002C076A">
        <w:rPr>
          <w:bCs/>
          <w:color w:val="000000" w:themeColor="text1"/>
          <w:lang w:eastAsia="en-US"/>
        </w:rPr>
        <w:t>Леноблводоканал</w:t>
      </w:r>
      <w:proofErr w:type="spellEnd"/>
      <w:r w:rsidRPr="002C076A">
        <w:rPr>
          <w:bCs/>
          <w:color w:val="000000" w:themeColor="text1"/>
          <w:lang w:eastAsia="en-US"/>
        </w:rPr>
        <w:t>» сетей водоснабжения и водоотведения и прекращением деятельности ООО «</w:t>
      </w:r>
      <w:proofErr w:type="spellStart"/>
      <w:r w:rsidRPr="002C076A">
        <w:rPr>
          <w:bCs/>
          <w:color w:val="000000" w:themeColor="text1"/>
          <w:lang w:eastAsia="en-US"/>
        </w:rPr>
        <w:t>Актион</w:t>
      </w:r>
      <w:proofErr w:type="spellEnd"/>
      <w:r w:rsidRPr="002C076A">
        <w:rPr>
          <w:bCs/>
          <w:color w:val="000000" w:themeColor="text1"/>
          <w:lang w:eastAsia="en-US"/>
        </w:rPr>
        <w:t xml:space="preserve">», а также включением в реестр предприятий ЖКХ, ведущих деятельность на территории </w:t>
      </w:r>
      <w:proofErr w:type="spellStart"/>
      <w:r w:rsidRPr="002C076A">
        <w:rPr>
          <w:bCs/>
          <w:color w:val="000000" w:themeColor="text1"/>
          <w:lang w:eastAsia="en-US"/>
        </w:rPr>
        <w:t>Тосненского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муниципального района Ленинградской области предприятий в сфере теплоснабжения ГКУ «Объект 58», в сфере водоснабжения – Федоровское МУП ЖКХ. В дальнейшем показатель отражен неизменно.</w:t>
      </w:r>
    </w:p>
    <w:p w:rsidR="00585B0C" w:rsidRPr="002C076A" w:rsidRDefault="00585B0C" w:rsidP="00585B0C">
      <w:pPr>
        <w:ind w:firstLine="360"/>
        <w:jc w:val="both"/>
        <w:rPr>
          <w:bCs/>
          <w:color w:val="000000" w:themeColor="text1"/>
          <w:lang w:eastAsia="en-US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29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861FA1" w:rsidRPr="002C076A" w:rsidRDefault="00861FA1" w:rsidP="005828D6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Заполняется на основании технического паспорта здания (строения), в котором указывается кадастровый номер, если земельный участок, на котором располагается жилой дом, проходил кадастровый учет. Показатель рассчитывается делением:</w:t>
      </w:r>
      <w:r w:rsidR="005828D6" w:rsidRPr="002C076A">
        <w:rPr>
          <w:color w:val="000000" w:themeColor="text1"/>
        </w:rPr>
        <w:t xml:space="preserve"> </w:t>
      </w:r>
      <w:r w:rsidRPr="002C076A">
        <w:rPr>
          <w:color w:val="000000" w:themeColor="text1"/>
        </w:rPr>
        <w:t>числитель - число многоквартирных домов, расположенных на земельных участках, в отношении которых осуществлен государственный ка</w:t>
      </w:r>
      <w:r w:rsidR="005828D6" w:rsidRPr="002C076A">
        <w:rPr>
          <w:color w:val="000000" w:themeColor="text1"/>
        </w:rPr>
        <w:t xml:space="preserve">дастровый учет, </w:t>
      </w:r>
      <w:r w:rsidRPr="002C076A">
        <w:rPr>
          <w:color w:val="000000" w:themeColor="text1"/>
        </w:rPr>
        <w:t>знаменатель - общее число многоквартирных домов (имеющих раз</w:t>
      </w:r>
      <w:r w:rsidR="005828D6" w:rsidRPr="002C076A">
        <w:rPr>
          <w:color w:val="000000" w:themeColor="text1"/>
        </w:rPr>
        <w:t>решение на ввод в эксплуатацию). Р</w:t>
      </w:r>
      <w:r w:rsidRPr="002C076A">
        <w:rPr>
          <w:color w:val="000000" w:themeColor="text1"/>
        </w:rPr>
        <w:t>езульт</w:t>
      </w:r>
      <w:r w:rsidR="005828D6" w:rsidRPr="002C076A">
        <w:rPr>
          <w:color w:val="000000" w:themeColor="text1"/>
        </w:rPr>
        <w:t>ат умножается на 100% (указания по заполнению формы федерального статистического наблюдения).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2020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располагалось 1245 многоквартирных домов, под 1087 многоквартирными домами, земельные участки поставлены на кадастровый учет.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1087/1245*100%  = 87,31%;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2021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располагалось 1245 многоквартирных домов, под 1198 многоквартирными домами, земельные участки поставлены на кадастровый учет.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1198/1245*100%  = 96,22%;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располагалось 1258 многоквартирных домов, под 1211 многоквартирными домами, земельные участки поставлены на кадастровый учет.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1211 /1258*100%  = 96,3%;</w:t>
      </w:r>
    </w:p>
    <w:p w:rsidR="00F22033" w:rsidRPr="002C076A" w:rsidRDefault="00BD498E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Прогноз на 2023 год - 96,7%, 2024-2025 годы – 96,8%.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30 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7E7198" w:rsidRPr="002C076A" w:rsidRDefault="007E7198" w:rsidP="007E71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Показатель рассчитывается как отношение числа семей, получивших жилые помещения и улучшивших жилищные условия за отчетный год, в числе семей, состоявших на учете в качестве нуждающихся в жилых помещениях на начало отчетного года, в процентах.</w:t>
      </w:r>
    </w:p>
    <w:p w:rsidR="007E7198" w:rsidRPr="002C076A" w:rsidRDefault="007E7198" w:rsidP="007E71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noProof/>
          <w:color w:val="000000" w:themeColor="text1"/>
          <w:position w:val="-21"/>
        </w:rPr>
        <w:drawing>
          <wp:inline distT="0" distB="0" distL="0" distR="0" wp14:anchorId="3AAFCD7C" wp14:editId="056ACF9D">
            <wp:extent cx="925830" cy="4019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76A">
        <w:rPr>
          <w:rFonts w:eastAsiaTheme="minorHAnsi"/>
          <w:color w:val="000000" w:themeColor="text1"/>
          <w:lang w:eastAsia="en-US"/>
        </w:rPr>
        <w:t>, где</w:t>
      </w:r>
    </w:p>
    <w:p w:rsidR="007E7198" w:rsidRPr="002C076A" w:rsidRDefault="007E7198" w:rsidP="007E71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lastRenderedPageBreak/>
        <w:t>S - Удельный вес числа семей, получивших жилые помещения и улучшивших жилищные условия, в числе семей, состоявших на учете в качестве нуждающихся жилых помещениях, процент;</w:t>
      </w:r>
    </w:p>
    <w:p w:rsidR="007E7198" w:rsidRPr="002C076A" w:rsidRDefault="007E7198" w:rsidP="007E7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2C076A">
        <w:rPr>
          <w:rFonts w:eastAsiaTheme="minorHAnsi"/>
          <w:color w:val="000000" w:themeColor="text1"/>
          <w:lang w:eastAsia="en-US"/>
        </w:rPr>
        <w:t>Sy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- Число семей, получивших жилые помещения и улучшивших жилищные условия на конец отчетного года, единиц. </w:t>
      </w:r>
    </w:p>
    <w:p w:rsidR="007E7198" w:rsidRPr="002C076A" w:rsidRDefault="007E7198" w:rsidP="007E7198">
      <w:pPr>
        <w:spacing w:after="200"/>
        <w:ind w:firstLine="54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За отчетный период улучшили жилищные условия 76 семей.</w:t>
      </w:r>
    </w:p>
    <w:p w:rsidR="007E7198" w:rsidRPr="002C076A" w:rsidRDefault="007E7198" w:rsidP="007E7198">
      <w:pPr>
        <w:spacing w:after="200"/>
        <w:ind w:firstLine="708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Для достижения соответствующего показателя на территории муниципального образования были реализованы следующие мероприятия:</w:t>
      </w:r>
    </w:p>
    <w:p w:rsidR="007E7198" w:rsidRPr="002C076A" w:rsidRDefault="007E7198" w:rsidP="007E7198">
      <w:pPr>
        <w:spacing w:after="20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- предоставлены жилые помещения по договорам социального найма гражданам, нуждающимся в улучшении жилищных условий – 37 семьям;</w:t>
      </w:r>
    </w:p>
    <w:p w:rsidR="007E7198" w:rsidRPr="002C076A" w:rsidRDefault="007E7198" w:rsidP="007E7198">
      <w:pPr>
        <w:spacing w:after="20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 xml:space="preserve">- улучшили жилищные условия с использованием социальных выплат – 12 семей, 5 из которых малоимущие, 7 – участники региональных и федеральных жилищных программ, в том числе 2 семей – многодетных и 4 семьи, в составе которых ребенок-инвалид, 1- молодой гражданин; </w:t>
      </w:r>
    </w:p>
    <w:p w:rsidR="007E7198" w:rsidRPr="002C076A" w:rsidRDefault="007E7198" w:rsidP="007E7198">
      <w:pPr>
        <w:spacing w:after="20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- улучшили жилищные условия в рамках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 – 27 семей.</w:t>
      </w:r>
    </w:p>
    <w:p w:rsidR="007E7198" w:rsidRPr="002C076A" w:rsidRDefault="007E7198" w:rsidP="007E7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2C076A">
        <w:rPr>
          <w:rFonts w:eastAsiaTheme="minorHAnsi"/>
          <w:color w:val="000000" w:themeColor="text1"/>
          <w:lang w:eastAsia="en-US"/>
        </w:rPr>
        <w:t>Sc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- Число семей, состоявших на учете в качестве нуждающихся в жилых помещениях на начало отчетного года, единиц;</w:t>
      </w:r>
    </w:p>
    <w:p w:rsidR="007E7198" w:rsidRPr="002C076A" w:rsidRDefault="007E7198" w:rsidP="007E7198">
      <w:pPr>
        <w:ind w:firstLine="540"/>
        <w:jc w:val="both"/>
        <w:rPr>
          <w:b/>
          <w:color w:val="000000" w:themeColor="text1"/>
        </w:rPr>
      </w:pPr>
      <w:r w:rsidRPr="002C076A">
        <w:rPr>
          <w:color w:val="000000" w:themeColor="text1"/>
        </w:rPr>
        <w:t xml:space="preserve">На 01.01.2022 года на учете нуждающихся в жилых помещениях по муниципальному образованию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состоит 1754 семей.</w:t>
      </w:r>
    </w:p>
    <w:p w:rsidR="007E7198" w:rsidRPr="002C076A" w:rsidRDefault="007E7198" w:rsidP="007E7198">
      <w:pPr>
        <w:ind w:firstLine="708"/>
        <w:jc w:val="both"/>
        <w:rPr>
          <w:b/>
          <w:color w:val="000000" w:themeColor="text1"/>
        </w:rPr>
      </w:pPr>
    </w:p>
    <w:p w:rsidR="007E7198" w:rsidRPr="002C076A" w:rsidRDefault="007E7198" w:rsidP="007E7198">
      <w:pPr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 xml:space="preserve">Показатели: 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2020 г. – 51/1303*100 =3,9 %;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2021 г. – 50/1426*100 = 3,5 %;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2022 г. – 76/1754*100 = 4,33 %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2023 г. – 60/1319*100 = 4,54 %</w:t>
      </w:r>
    </w:p>
    <w:p w:rsidR="007E7198" w:rsidRPr="002C076A" w:rsidRDefault="00392CAC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2024 г. – 60/1259</w:t>
      </w:r>
      <w:r w:rsidR="007E7198" w:rsidRPr="002C076A">
        <w:rPr>
          <w:color w:val="000000" w:themeColor="text1"/>
          <w:lang w:eastAsia="en-US"/>
        </w:rPr>
        <w:t>*100 = 4,7 %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2025 г.  – 60/1199*100 = 5,00 %</w:t>
      </w: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VIII</w:t>
      </w:r>
      <w:r w:rsidRPr="002C076A">
        <w:rPr>
          <w:b/>
          <w:bCs/>
          <w:color w:val="000000" w:themeColor="text1"/>
          <w:sz w:val="28"/>
          <w:szCs w:val="28"/>
        </w:rPr>
        <w:t>. Организация муниципального управления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31</w:t>
      </w:r>
    </w:p>
    <w:p w:rsidR="00585B0C" w:rsidRPr="002C076A" w:rsidRDefault="00585B0C" w:rsidP="00585B0C">
      <w:pPr>
        <w:ind w:firstLine="709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9A2FD3" w:rsidRPr="002C076A" w:rsidRDefault="009A2FD3" w:rsidP="009A2FD3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(без учета субвенций) в 2022 году уменьшилась в сравнении с 2021 годом на 4,34</w:t>
      </w:r>
      <w:r w:rsidR="00310C1F" w:rsidRPr="002C076A">
        <w:rPr>
          <w:color w:val="000000" w:themeColor="text1"/>
        </w:rPr>
        <w:t xml:space="preserve">%. </w:t>
      </w:r>
      <w:r w:rsidRPr="002C076A">
        <w:rPr>
          <w:color w:val="000000" w:themeColor="text1"/>
        </w:rPr>
        <w:t xml:space="preserve">Собственные доходы (без учета субвенций) в 2022 году увеличились на 680 956,1 тыс. рублей в сравнении с 2021 годом. Субвенции в 2022 году увеличились по сравнению с 2021 годом на 68 463,3 тыс. рублей. </w:t>
      </w:r>
      <w:r w:rsidRPr="002C076A">
        <w:rPr>
          <w:color w:val="000000" w:themeColor="text1"/>
        </w:rPr>
        <w:lastRenderedPageBreak/>
        <w:t xml:space="preserve">Основным доходным источником в консолидированном бюджете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остается налог на доходы физических лиц, который составляет 47,2% всех налоговых и неналоговых доходов. </w:t>
      </w:r>
    </w:p>
    <w:p w:rsidR="009A2FD3" w:rsidRPr="002C076A" w:rsidRDefault="009A2FD3" w:rsidP="009A2FD3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Бюджетные назначения по налоговым доходам за 2022 год выполнены на 112,4%. Их доля в общем объеме налоговых и неналоговых доходов составила 83,3%.</w:t>
      </w:r>
    </w:p>
    <w:p w:rsidR="009A2FD3" w:rsidRPr="002C076A" w:rsidRDefault="009A2FD3" w:rsidP="009A2FD3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Доля неналоговых доходов в общем объеме налоговых и неналоговых доходов составила 16,7%.</w:t>
      </w:r>
    </w:p>
    <w:p w:rsidR="00585B0C" w:rsidRPr="002C076A" w:rsidRDefault="00585B0C" w:rsidP="00A751B5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32</w:t>
      </w:r>
    </w:p>
    <w:p w:rsidR="00A42D33" w:rsidRPr="002C076A" w:rsidRDefault="00585B0C" w:rsidP="00A42D33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рассчитывается как отношение стоимости основных фондов организаций муниципальной формы собственности, находящихся в стадии банкротства (с момента объявления процедуры банкротства) к общей стоимости основных фондов организаций муниципальной формы собственности (по полной учетной стоимости на конец года). Результат умножается на 100 процентов.</w:t>
      </w:r>
    </w:p>
    <w:p w:rsidR="00585B0C" w:rsidRPr="002C076A" w:rsidRDefault="00585B0C" w:rsidP="00585B0C">
      <w:pPr>
        <w:jc w:val="both"/>
        <w:rPr>
          <w:color w:val="000000" w:themeColor="text1"/>
          <w:sz w:val="28"/>
          <w:szCs w:val="28"/>
        </w:rPr>
      </w:pPr>
      <w:r w:rsidRPr="002C076A">
        <w:rPr>
          <w:color w:val="000000" w:themeColor="text1"/>
          <w:sz w:val="28"/>
          <w:szCs w:val="28"/>
        </w:rPr>
        <w:tab/>
      </w:r>
      <w:r w:rsidRPr="002C076A">
        <w:rPr>
          <w:color w:val="000000" w:themeColor="text1"/>
        </w:rPr>
        <w:t xml:space="preserve">Организаций муниципальной формы собственности, находящихся в стадии банкротства, в муниципальном образовании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нет.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33</w:t>
      </w:r>
    </w:p>
    <w:p w:rsidR="00723295" w:rsidRPr="002C076A" w:rsidRDefault="00585B0C" w:rsidP="00723295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Объем не завершенного в установленные сроки строительства, осуществляемого за счет средств бюджета городского</w:t>
      </w:r>
      <w:r w:rsidR="00723295" w:rsidRPr="002C076A">
        <w:rPr>
          <w:b/>
          <w:i/>
          <w:color w:val="000000" w:themeColor="text1"/>
        </w:rPr>
        <w:t xml:space="preserve"> округа (муниципального района)</w:t>
      </w:r>
    </w:p>
    <w:p w:rsidR="00723295" w:rsidRPr="002C076A" w:rsidRDefault="00723295" w:rsidP="00723295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rFonts w:eastAsia="Times New Roman"/>
          <w:color w:val="000000" w:themeColor="text1"/>
          <w:shd w:val="clear" w:color="auto" w:fill="FFFFFF"/>
        </w:rPr>
        <w:t xml:space="preserve">Не завершенное в установленные сроки строительство за счет средств бюджета муниципального образования </w:t>
      </w:r>
      <w:proofErr w:type="spellStart"/>
      <w:r w:rsidRPr="002C076A">
        <w:rPr>
          <w:rFonts w:eastAsia="Times New Roman"/>
          <w:color w:val="000000" w:themeColor="text1"/>
          <w:shd w:val="clear" w:color="auto" w:fill="FFFFFF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shd w:val="clear" w:color="auto" w:fill="FFFFFF"/>
        </w:rPr>
        <w:t xml:space="preserve"> район Ленинградской области </w:t>
      </w:r>
      <w:r w:rsidRPr="002C076A">
        <w:rPr>
          <w:rFonts w:eastAsia="Times New Roman"/>
          <w:color w:val="000000" w:themeColor="text1"/>
        </w:rPr>
        <w:t>отсутствует, показатель за отчетный 2022 год и плановый период 2023-2025 годы равен нулю.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i/>
          <w:iCs/>
          <w:color w:val="000000" w:themeColor="text1"/>
          <w:sz w:val="28"/>
          <w:szCs w:val="28"/>
          <w:u w:val="single"/>
        </w:rPr>
        <w:t xml:space="preserve">                 </w:t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34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585B0C" w:rsidRPr="002C076A" w:rsidRDefault="00585B0C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Задолженность по оплате труда отсутствует.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35</w:t>
      </w:r>
    </w:p>
    <w:p w:rsidR="009A2FD3" w:rsidRPr="002C076A" w:rsidRDefault="00585B0C" w:rsidP="00257564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Расходы бюджета муниципального образования на содержание работников органов местного самоуправления в расчете на одного жи</w:t>
      </w:r>
      <w:r w:rsidR="00473DEF" w:rsidRPr="002C076A">
        <w:rPr>
          <w:b/>
          <w:i/>
          <w:color w:val="000000" w:themeColor="text1"/>
        </w:rPr>
        <w:t>теля муниципального образования</w:t>
      </w:r>
    </w:p>
    <w:p w:rsidR="009A2FD3" w:rsidRPr="002C076A" w:rsidRDefault="009A2FD3" w:rsidP="009A2FD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Расходы на содержание работников органов местного самоуправления в расчете на одного жителя муниципального образования в 2022 году незначительно уменьшились по сравнению с уровнем 2021 года на 73,07 рубля. Снижение значения показателя в расчете на 1 человека связано с увеличением численности населения.</w:t>
      </w:r>
    </w:p>
    <w:p w:rsidR="009A2FD3" w:rsidRPr="002C076A" w:rsidRDefault="009A2FD3" w:rsidP="009A2FD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  В поселениях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муниципального района Ленинградской области и в муниципальном образовании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муниципальный район Ленинградской области были приняты решения советов депутатов по изменению в 2022 году денежного вознаграждения лиц, замещающих муниципальные должности, ежемесячных должностных окладов муниципальных служащих, работников органов местного самоуправления, занимающих должности, не являющиеся должностями муниципальной службы.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36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lastRenderedPageBreak/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585B0C" w:rsidRPr="002C076A" w:rsidRDefault="00585B0C" w:rsidP="00585B0C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Администрация муниципального образования </w:t>
      </w:r>
      <w:proofErr w:type="spellStart"/>
      <w:r w:rsidRPr="002C076A">
        <w:rPr>
          <w:bCs/>
          <w:color w:val="000000" w:themeColor="text1"/>
        </w:rPr>
        <w:t>Тосненский</w:t>
      </w:r>
      <w:proofErr w:type="spellEnd"/>
      <w:r w:rsidRPr="002C076A">
        <w:rPr>
          <w:bCs/>
          <w:color w:val="000000" w:themeColor="text1"/>
        </w:rPr>
        <w:t xml:space="preserve"> район Ленинградкой области заключила муниципальный контракт № 0145300006321000234 от 06.12.2021 на выполнение работ по подготовке проекта внесения изменений в Схему территориального планирования </w:t>
      </w:r>
      <w:proofErr w:type="spellStart"/>
      <w:r w:rsidRPr="002C076A">
        <w:rPr>
          <w:bCs/>
          <w:color w:val="000000" w:themeColor="text1"/>
        </w:rPr>
        <w:t>Тосненского</w:t>
      </w:r>
      <w:proofErr w:type="spellEnd"/>
      <w:r w:rsidRPr="002C076A">
        <w:rPr>
          <w:bCs/>
          <w:color w:val="000000" w:themeColor="text1"/>
        </w:rPr>
        <w:t xml:space="preserve"> муниципального района Ленинградской области.</w:t>
      </w:r>
    </w:p>
    <w:p w:rsidR="00585B0C" w:rsidRPr="002C076A" w:rsidRDefault="00585B0C" w:rsidP="00585B0C">
      <w:pPr>
        <w:jc w:val="both"/>
        <w:rPr>
          <w:iCs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37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Удовлетворенность населения деятельностью органов местного самоуправления городского округа (муниципального района)</w:t>
      </w:r>
    </w:p>
    <w:p w:rsidR="00585B0C" w:rsidRPr="002C076A" w:rsidRDefault="00585B0C" w:rsidP="00585B0C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 xml:space="preserve">Показатель получен в ходе опроса населения </w:t>
      </w:r>
      <w:r w:rsidR="00E348C1" w:rsidRPr="002C076A">
        <w:rPr>
          <w:iCs/>
          <w:color w:val="000000" w:themeColor="text1"/>
        </w:rPr>
        <w:t>и анализа общественного мнения К</w:t>
      </w:r>
      <w:r w:rsidRPr="002C076A">
        <w:rPr>
          <w:iCs/>
          <w:color w:val="000000" w:themeColor="text1"/>
        </w:rPr>
        <w:t xml:space="preserve">омитетом общественных коммуникаций Ленинградской области. 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 xml:space="preserve">Опрос населения осуществляется </w:t>
      </w:r>
      <w:r w:rsidR="00EC5259" w:rsidRPr="002C076A">
        <w:rPr>
          <w:iCs/>
          <w:color w:val="000000" w:themeColor="text1"/>
        </w:rPr>
        <w:t xml:space="preserve">традиционным методом (личное интервьюирование) </w:t>
      </w:r>
      <w:r w:rsidRPr="002C076A">
        <w:rPr>
          <w:iCs/>
          <w:color w:val="000000" w:themeColor="text1"/>
        </w:rPr>
        <w:t xml:space="preserve">на основе следующих критериев: 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1. Удовлетворенность населения организацией транспортного обслуживания в муниципальном образовании (процентов от числа опрошенных).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2. Удовлетворенность населения качеством автомобильных дорог в муниципальном образовании (процентов от числа опрошенных).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3.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195D01" w:rsidRPr="002C076A" w:rsidRDefault="00195D01" w:rsidP="00585B0C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В качестве значения показателя эффективности используется суммарный процент респондентов, оценивших свою удовлетворенность положительно («полностью удовлетворены», «скорее удовлетворены») или нейтрально («отчасти удовлетворены, отчасти – нет»). Показатель рассчитывается в процентах от числа опрошенн</w:t>
      </w:r>
      <w:r w:rsidR="00256B2A" w:rsidRPr="002C076A">
        <w:rPr>
          <w:iCs/>
          <w:color w:val="000000" w:themeColor="text1"/>
        </w:rPr>
        <w:t>ых в районе.</w:t>
      </w:r>
    </w:p>
    <w:p w:rsidR="00585B0C" w:rsidRPr="002C076A" w:rsidRDefault="00585B0C" w:rsidP="00585B0C">
      <w:pPr>
        <w:ind w:firstLine="708"/>
        <w:jc w:val="both"/>
        <w:rPr>
          <w:iCs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38</w:t>
      </w:r>
    </w:p>
    <w:p w:rsidR="00585B0C" w:rsidRPr="002C076A" w:rsidRDefault="00585B0C" w:rsidP="00585B0C">
      <w:pPr>
        <w:jc w:val="both"/>
        <w:rPr>
          <w:b/>
          <w:i/>
          <w:color w:val="000000" w:themeColor="text1"/>
        </w:rPr>
      </w:pPr>
      <w:r w:rsidRPr="002C076A">
        <w:rPr>
          <w:b/>
          <w:color w:val="000000" w:themeColor="text1"/>
        </w:rPr>
        <w:tab/>
      </w:r>
      <w:r w:rsidRPr="002C076A">
        <w:rPr>
          <w:b/>
          <w:i/>
          <w:color w:val="000000" w:themeColor="text1"/>
        </w:rPr>
        <w:t>Среднегодовая численность постоянного населения</w:t>
      </w:r>
    </w:p>
    <w:p w:rsidR="003E32FB" w:rsidRPr="002C076A" w:rsidRDefault="003E32FB" w:rsidP="003E32FB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hAnsi="Times New Roman" w:cs="Times New Roman"/>
          <w:color w:val="000000" w:themeColor="text1"/>
        </w:rPr>
        <w:t xml:space="preserve">Демографическая ситуация в </w:t>
      </w:r>
      <w:proofErr w:type="spellStart"/>
      <w:r w:rsidRPr="002C076A">
        <w:rPr>
          <w:rFonts w:ascii="Times New Roman" w:hAnsi="Times New Roman" w:cs="Times New Roman"/>
          <w:color w:val="000000" w:themeColor="text1"/>
        </w:rPr>
        <w:t>Тосненском</w:t>
      </w:r>
      <w:proofErr w:type="spellEnd"/>
      <w:r w:rsidRPr="002C076A">
        <w:rPr>
          <w:rFonts w:ascii="Times New Roman" w:hAnsi="Times New Roman" w:cs="Times New Roman"/>
          <w:color w:val="000000" w:themeColor="text1"/>
        </w:rPr>
        <w:t xml:space="preserve"> районе в отчетном году характеризуется незначительным снижением рождаемости, количества регистрации и расторжения браков, </w:t>
      </w:r>
      <w:r w:rsidRPr="002C076A">
        <w:rPr>
          <w:rFonts w:ascii="Times New Roman" w:eastAsia="Times New Roman" w:hAnsi="Times New Roman" w:cs="Times New Roman"/>
          <w:color w:val="000000" w:themeColor="text1"/>
        </w:rPr>
        <w:t>установлений отцовства,</w:t>
      </w:r>
      <w:r w:rsidRPr="002C076A">
        <w:rPr>
          <w:rFonts w:ascii="Times New Roman" w:hAnsi="Times New Roman" w:cs="Times New Roman"/>
          <w:color w:val="000000" w:themeColor="text1"/>
        </w:rPr>
        <w:t xml:space="preserve"> </w:t>
      </w:r>
      <w:r w:rsidR="00C3719F" w:rsidRPr="002C076A">
        <w:rPr>
          <w:rFonts w:ascii="Times New Roman" w:hAnsi="Times New Roman" w:cs="Times New Roman"/>
          <w:color w:val="000000" w:themeColor="text1"/>
        </w:rPr>
        <w:t xml:space="preserve">значительным снижением </w:t>
      </w:r>
      <w:r w:rsidRPr="002C076A">
        <w:rPr>
          <w:rFonts w:ascii="Times New Roman" w:hAnsi="Times New Roman" w:cs="Times New Roman"/>
          <w:color w:val="000000" w:themeColor="text1"/>
        </w:rPr>
        <w:t xml:space="preserve">смертности </w:t>
      </w:r>
      <w:r w:rsidRPr="002C076A">
        <w:rPr>
          <w:rFonts w:ascii="Times New Roman" w:eastAsia="Times New Roman" w:hAnsi="Times New Roman" w:cs="Times New Roman"/>
          <w:color w:val="000000" w:themeColor="text1"/>
        </w:rPr>
        <w:t>по сравнению с 2021 годом.</w:t>
      </w:r>
      <w:r w:rsidRPr="002C076A">
        <w:rPr>
          <w:color w:val="000000" w:themeColor="text1"/>
        </w:rPr>
        <w:t xml:space="preserve"> </w:t>
      </w:r>
    </w:p>
    <w:p w:rsidR="003E32FB" w:rsidRPr="002C076A" w:rsidRDefault="00C3719F" w:rsidP="003E32FB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>С</w:t>
      </w:r>
      <w:r w:rsidR="003E32FB" w:rsidRPr="002C076A">
        <w:rPr>
          <w:rFonts w:ascii="Times New Roman" w:eastAsia="Times New Roman" w:hAnsi="Times New Roman" w:cs="Times New Roman"/>
          <w:color w:val="000000" w:themeColor="text1"/>
        </w:rPr>
        <w:t>нижение уровня смертности связано со стабилизацией эпидемиологической обстановки и с действием до 18.10.2022 постановления Губернатора Ленинградской области, согласно которого органам ЗАГС Ленинградской области было запрещено регистрировать смерть лиц, последним местом жительства которых не являлась Ленинградская область.</w:t>
      </w:r>
      <w:r w:rsidR="003E32FB" w:rsidRPr="002C076A">
        <w:rPr>
          <w:color w:val="000000" w:themeColor="text1"/>
        </w:rPr>
        <w:t xml:space="preserve"> </w:t>
      </w:r>
      <w:r w:rsidR="003E32FB" w:rsidRPr="002C076A">
        <w:rPr>
          <w:rFonts w:ascii="Times New Roman" w:eastAsia="Times New Roman" w:hAnsi="Times New Roman" w:cs="Times New Roman"/>
          <w:color w:val="000000" w:themeColor="text1"/>
        </w:rPr>
        <w:t xml:space="preserve">Снижение смертности зарегистрировано во всех поселениях. </w:t>
      </w:r>
    </w:p>
    <w:p w:rsidR="00AA3077" w:rsidRPr="002C076A" w:rsidRDefault="00AA3077" w:rsidP="003E32FB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По данным Всероссийской переписи населения, проведенной по состоянию на 01.10.2021, численность постоянного населения </w:t>
      </w:r>
      <w:proofErr w:type="spellStart"/>
      <w:r w:rsidRPr="002C076A">
        <w:rPr>
          <w:rFonts w:ascii="Times New Roman" w:eastAsia="Times New Roman" w:hAnsi="Times New Roman" w:cs="Times New Roman"/>
          <w:color w:val="000000" w:themeColor="text1"/>
        </w:rPr>
        <w:t>Тосненского</w:t>
      </w:r>
      <w:proofErr w:type="spellEnd"/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района Ленинградской области составила 136200 человек.</w:t>
      </w:r>
    </w:p>
    <w:p w:rsidR="003E32FB" w:rsidRPr="002C076A" w:rsidRDefault="00AA3077" w:rsidP="006F2C8E">
      <w:pPr>
        <w:pStyle w:val="Textbody"/>
        <w:ind w:firstLine="708"/>
        <w:jc w:val="both"/>
        <w:rPr>
          <w:color w:val="000000" w:themeColor="text1"/>
          <w:sz w:val="28"/>
          <w:szCs w:val="28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Численности постоянного населения по муниципальному образованию </w:t>
      </w:r>
      <w:proofErr w:type="spellStart"/>
      <w:r w:rsidRPr="002C076A">
        <w:rPr>
          <w:rFonts w:ascii="Times New Roman" w:eastAsia="Times New Roman" w:hAnsi="Times New Roman" w:cs="Times New Roman"/>
          <w:color w:val="000000" w:themeColor="text1"/>
        </w:rPr>
        <w:t>Тосненский</w:t>
      </w:r>
      <w:proofErr w:type="spellEnd"/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район Ленинградской области за 2022 год, с учётом итогов Всероссийской переписи населения составила </w:t>
      </w:r>
      <w:r w:rsidR="00C5291E" w:rsidRPr="002C076A">
        <w:rPr>
          <w:rFonts w:ascii="Times New Roman" w:eastAsia="Times New Roman" w:hAnsi="Times New Roman" w:cs="Times New Roman"/>
          <w:color w:val="000000" w:themeColor="text1"/>
        </w:rPr>
        <w:t>133109</w:t>
      </w: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человек.</w:t>
      </w:r>
      <w:r w:rsidR="006F2C8E" w:rsidRPr="002C07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1FD8" w:rsidRPr="002C076A">
        <w:rPr>
          <w:rFonts w:ascii="Times New Roman" w:hAnsi="Times New Roman" w:cs="Times New Roman"/>
          <w:color w:val="000000" w:themeColor="text1"/>
          <w:shd w:val="clear" w:color="auto" w:fill="FFFFFF"/>
        </w:rPr>
        <w:t>Соотношение горожан и сельских жителей за последние годы остается стабильным – 70% и 30% соответственно.</w:t>
      </w:r>
    </w:p>
    <w:p w:rsidR="00A367CF" w:rsidRPr="002C076A" w:rsidRDefault="00A367CF" w:rsidP="00A367CF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Прирост населения района обеспечивается активной реализацией жилищных проектов в Никольском и Федоровском городских поселениях и </w:t>
      </w:r>
      <w:proofErr w:type="spellStart"/>
      <w:r w:rsidRPr="002C076A">
        <w:rPr>
          <w:rFonts w:ascii="Times New Roman" w:eastAsia="Times New Roman" w:hAnsi="Times New Roman" w:cs="Times New Roman"/>
          <w:color w:val="000000" w:themeColor="text1"/>
        </w:rPr>
        <w:t>Тельмановском</w:t>
      </w:r>
      <w:proofErr w:type="spellEnd"/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сельском поселении. </w:t>
      </w:r>
    </w:p>
    <w:p w:rsidR="00A367CF" w:rsidRPr="002C076A" w:rsidRDefault="00A367CF" w:rsidP="00A367CF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Динамика численности населения в значительной степени определяется миграционным обменом с Санкт-Петербургом. Согласно Концепции совместного градостроительного развития Санкт-Петербурга и территорий Ленинградской области (агломерации) на период до 2030 года с перспективой до 2050 года, </w:t>
      </w:r>
      <w:proofErr w:type="spellStart"/>
      <w:r w:rsidRPr="002C076A">
        <w:rPr>
          <w:rFonts w:ascii="Times New Roman" w:eastAsia="Times New Roman" w:hAnsi="Times New Roman" w:cs="Times New Roman"/>
          <w:color w:val="000000" w:themeColor="text1"/>
        </w:rPr>
        <w:t>Тосненский</w:t>
      </w:r>
      <w:proofErr w:type="spellEnd"/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район находится в зоне взаимовлияния Санкт-Петербурга и Ленинградской области, а 7 поселений </w:t>
      </w:r>
      <w:r w:rsidRPr="002C076A">
        <w:rPr>
          <w:rFonts w:ascii="Times New Roman" w:eastAsia="Times New Roman" w:hAnsi="Times New Roman" w:cs="Times New Roman"/>
          <w:color w:val="000000" w:themeColor="text1"/>
        </w:rPr>
        <w:lastRenderedPageBreak/>
        <w:t>включены в границы зоны интенсивной урбанизации. Прогнозная численность населения в границах зоны интенсивной урбанизации на 2050 год составит 530 тыс. населения.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Динамика смертности населения будет формироваться под влиянием трендо</w:t>
      </w:r>
      <w:r w:rsidR="00FD6247" w:rsidRPr="002C076A">
        <w:rPr>
          <w:color w:val="000000" w:themeColor="text1"/>
        </w:rPr>
        <w:t>в эпидемиологический ситуации</w:t>
      </w:r>
      <w:r w:rsidR="00BC5820" w:rsidRPr="002C076A">
        <w:rPr>
          <w:color w:val="000000" w:themeColor="text1"/>
        </w:rPr>
        <w:t xml:space="preserve"> </w:t>
      </w:r>
      <w:r w:rsidRPr="002C076A">
        <w:rPr>
          <w:color w:val="000000" w:themeColor="text1"/>
        </w:rPr>
        <w:t>и продолжением реализации мероприятий, направленных на вовлечение старшего поколения в процессы активного долголетия, и увеличение ожидаемой продолжительности здоровой жизни.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Прогнозируемая числе</w:t>
      </w:r>
      <w:r w:rsidR="006F2C8E" w:rsidRPr="002C076A">
        <w:rPr>
          <w:color w:val="000000" w:themeColor="text1"/>
        </w:rPr>
        <w:t>нность населения МО к концу 2025</w:t>
      </w:r>
      <w:r w:rsidRPr="002C076A">
        <w:rPr>
          <w:color w:val="000000" w:themeColor="text1"/>
        </w:rPr>
        <w:t xml:space="preserve"> года составит </w:t>
      </w:r>
      <w:r w:rsidR="0091323E" w:rsidRPr="002C076A">
        <w:rPr>
          <w:color w:val="000000" w:themeColor="text1"/>
        </w:rPr>
        <w:t>135,7</w:t>
      </w:r>
      <w:r w:rsidRPr="002C076A">
        <w:rPr>
          <w:color w:val="000000" w:themeColor="text1"/>
        </w:rPr>
        <w:t xml:space="preserve"> тыс. человек.</w:t>
      </w:r>
      <w:r w:rsidR="0027773B" w:rsidRPr="002C076A">
        <w:rPr>
          <w:color w:val="000000" w:themeColor="text1"/>
        </w:rPr>
        <w:t xml:space="preserve"> </w:t>
      </w:r>
    </w:p>
    <w:p w:rsidR="00585B0C" w:rsidRPr="002C076A" w:rsidRDefault="00BA41E0" w:rsidP="00730DC1">
      <w:pPr>
        <w:shd w:val="clear" w:color="auto" w:fill="FFFFFF"/>
        <w:ind w:firstLine="567"/>
        <w:jc w:val="both"/>
        <w:rPr>
          <w:color w:val="000000" w:themeColor="text1"/>
        </w:rPr>
      </w:pPr>
      <w:r w:rsidRPr="002C076A">
        <w:rPr>
          <w:bCs/>
          <w:color w:val="000000" w:themeColor="text1"/>
          <w:shd w:val="clear" w:color="auto" w:fill="FFFFFF"/>
        </w:rPr>
        <w:t>Расчеты</w:t>
      </w:r>
      <w:r w:rsidRPr="002C076A">
        <w:rPr>
          <w:color w:val="000000" w:themeColor="text1"/>
          <w:shd w:val="clear" w:color="auto" w:fill="FFFFFF"/>
        </w:rPr>
        <w:t> </w:t>
      </w:r>
      <w:r w:rsidRPr="002C076A">
        <w:rPr>
          <w:bCs/>
          <w:color w:val="000000" w:themeColor="text1"/>
          <w:shd w:val="clear" w:color="auto" w:fill="FFFFFF"/>
        </w:rPr>
        <w:t>предположительной</w:t>
      </w:r>
      <w:r w:rsidRPr="002C076A">
        <w:rPr>
          <w:color w:val="000000" w:themeColor="text1"/>
          <w:shd w:val="clear" w:color="auto" w:fill="FFFFFF"/>
        </w:rPr>
        <w:t> </w:t>
      </w:r>
      <w:r w:rsidRPr="002C076A">
        <w:rPr>
          <w:bCs/>
          <w:color w:val="000000" w:themeColor="text1"/>
          <w:shd w:val="clear" w:color="auto" w:fill="FFFFFF"/>
        </w:rPr>
        <w:t>численности</w:t>
      </w:r>
      <w:r w:rsidRPr="002C076A">
        <w:rPr>
          <w:color w:val="000000" w:themeColor="text1"/>
          <w:shd w:val="clear" w:color="auto" w:fill="FFFFFF"/>
        </w:rPr>
        <w:t> </w:t>
      </w:r>
      <w:r w:rsidRPr="002C076A">
        <w:rPr>
          <w:bCs/>
          <w:color w:val="000000" w:themeColor="text1"/>
          <w:shd w:val="clear" w:color="auto" w:fill="FFFFFF"/>
        </w:rPr>
        <w:t>населения</w:t>
      </w:r>
      <w:r w:rsidRPr="002C076A">
        <w:rPr>
          <w:color w:val="000000" w:themeColor="text1"/>
          <w:shd w:val="clear" w:color="auto" w:fill="FFFFFF"/>
        </w:rPr>
        <w:t> (</w:t>
      </w:r>
      <w:r w:rsidRPr="002C076A">
        <w:rPr>
          <w:bCs/>
          <w:color w:val="000000" w:themeColor="text1"/>
          <w:shd w:val="clear" w:color="auto" w:fill="FFFFFF"/>
        </w:rPr>
        <w:t>демографический</w:t>
      </w:r>
      <w:r w:rsidR="00730DC1" w:rsidRPr="002C076A">
        <w:rPr>
          <w:color w:val="000000" w:themeColor="text1"/>
          <w:shd w:val="clear" w:color="auto" w:fill="FFFFFF"/>
        </w:rPr>
        <w:t xml:space="preserve"> прогноз) </w:t>
      </w:r>
      <w:r w:rsidRPr="002C076A">
        <w:rPr>
          <w:color w:val="000000" w:themeColor="text1"/>
          <w:shd w:val="clear" w:color="auto" w:fill="FFFFFF"/>
        </w:rPr>
        <w:t>строятся на основе гипотез относительно будущей динамики рождаемости, смертности и миграции </w:t>
      </w:r>
      <w:r w:rsidRPr="002C076A">
        <w:rPr>
          <w:bCs/>
          <w:color w:val="000000" w:themeColor="text1"/>
          <w:shd w:val="clear" w:color="auto" w:fill="FFFFFF"/>
        </w:rPr>
        <w:t>населения</w:t>
      </w:r>
      <w:r w:rsidR="00730DC1" w:rsidRPr="002C076A">
        <w:rPr>
          <w:color w:val="000000" w:themeColor="text1"/>
        </w:rPr>
        <w:t>. Н</w:t>
      </w:r>
      <w:r w:rsidR="00585B0C" w:rsidRPr="002C076A">
        <w:rPr>
          <w:color w:val="000000" w:themeColor="text1"/>
        </w:rPr>
        <w:t>а</w:t>
      </w:r>
      <w:r w:rsidR="006F2C8E" w:rsidRPr="002C076A">
        <w:rPr>
          <w:color w:val="000000" w:themeColor="text1"/>
        </w:rPr>
        <w:t xml:space="preserve"> 2023</w:t>
      </w:r>
      <w:r w:rsidR="00585B0C" w:rsidRPr="002C076A">
        <w:rPr>
          <w:color w:val="000000" w:themeColor="text1"/>
        </w:rPr>
        <w:t xml:space="preserve"> </w:t>
      </w:r>
      <w:r w:rsidR="006F2C8E" w:rsidRPr="002C076A">
        <w:rPr>
          <w:color w:val="000000" w:themeColor="text1"/>
        </w:rPr>
        <w:t>год и прогнозируемый период 2024-2025</w:t>
      </w:r>
      <w:r w:rsidR="00585B0C" w:rsidRPr="002C076A">
        <w:rPr>
          <w:color w:val="000000" w:themeColor="text1"/>
        </w:rPr>
        <w:t xml:space="preserve"> годов для определения показателей рождаемости и смертности приняты в расчет соответствующие коэффициенты, «заложенные» в прогноз социально-экономического развития Ленинградской области.</w:t>
      </w:r>
    </w:p>
    <w:p w:rsidR="0027773B" w:rsidRPr="002C076A" w:rsidRDefault="0027773B" w:rsidP="00730DC1">
      <w:pPr>
        <w:shd w:val="clear" w:color="auto" w:fill="FFFFFF"/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Необходимо отметить, что рост численности населения увеличивает нагрузку на социально-экономическую структуру, что требует повышение социальных обязательств.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На территории муниципального образования необходимо продолжать мероприятия, направленные на улучшение демографической ситуации, по различным направлениям деятельности: здравоохранение, культура, физическая культура, спорт и молодежная политика, образование. </w:t>
      </w:r>
    </w:p>
    <w:p w:rsidR="00585B0C" w:rsidRPr="002C076A" w:rsidRDefault="0027773B" w:rsidP="0027773B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улучшении демографической ситуации в районе о</w:t>
      </w:r>
      <w:r w:rsidR="00585B0C" w:rsidRPr="002C076A">
        <w:rPr>
          <w:color w:val="000000" w:themeColor="text1"/>
        </w:rPr>
        <w:t>рганы местного самоуправления видят свою задачу по таким направлениям, как: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создание комфортной городской среды, в том числе для детей и молодежи, 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развитие </w:t>
      </w:r>
      <w:proofErr w:type="spellStart"/>
      <w:r w:rsidRPr="002C076A">
        <w:rPr>
          <w:color w:val="000000" w:themeColor="text1"/>
        </w:rPr>
        <w:t>просветительско</w:t>
      </w:r>
      <w:proofErr w:type="spellEnd"/>
      <w:r w:rsidRPr="002C076A">
        <w:rPr>
          <w:color w:val="000000" w:themeColor="text1"/>
        </w:rPr>
        <w:t xml:space="preserve"> - культурной деятельности по всем направлениям,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развитие возможностей для ведения здорового образа жизни, занятий физической культурой и спортом всех возрастных групп населения, 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содействие органам здравоохранения в выполнении государственных программ по оздоровлению населения, </w:t>
      </w:r>
    </w:p>
    <w:p w:rsidR="001B1CFA" w:rsidRPr="002C076A" w:rsidRDefault="00585B0C" w:rsidP="001B1CFA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создание мотивации для профессиональной реализации молодеж</w:t>
      </w:r>
      <w:r w:rsidR="001B1CFA" w:rsidRPr="002C076A">
        <w:rPr>
          <w:color w:val="000000" w:themeColor="text1"/>
        </w:rPr>
        <w:t xml:space="preserve">и на территории района, и т.д. </w:t>
      </w:r>
    </w:p>
    <w:p w:rsidR="006F2C8E" w:rsidRPr="002C076A" w:rsidRDefault="006F2C8E" w:rsidP="006F2C8E">
      <w:pPr>
        <w:ind w:firstLine="709"/>
        <w:jc w:val="center"/>
        <w:rPr>
          <w:b/>
          <w:color w:val="000000" w:themeColor="text1"/>
        </w:rPr>
      </w:pPr>
      <w:r w:rsidRPr="002C076A">
        <w:rPr>
          <w:b/>
          <w:color w:val="000000" w:themeColor="text1"/>
        </w:rPr>
        <w:t xml:space="preserve">Среднегодовая численность постоянного населения </w:t>
      </w:r>
    </w:p>
    <w:p w:rsidR="006F2C8E" w:rsidRPr="002C076A" w:rsidRDefault="006F2C8E" w:rsidP="006F2C8E">
      <w:pPr>
        <w:ind w:firstLine="709"/>
        <w:jc w:val="center"/>
        <w:rPr>
          <w:b/>
          <w:color w:val="000000" w:themeColor="text1"/>
        </w:rPr>
      </w:pPr>
      <w:r w:rsidRPr="002C076A">
        <w:rPr>
          <w:b/>
          <w:color w:val="000000" w:themeColor="text1"/>
        </w:rPr>
        <w:t>и численность населения на конец года</w:t>
      </w:r>
    </w:p>
    <w:p w:rsidR="006F2C8E" w:rsidRPr="002C076A" w:rsidRDefault="006F2C8E" w:rsidP="006F2C8E">
      <w:pPr>
        <w:ind w:firstLine="709"/>
        <w:jc w:val="center"/>
        <w:rPr>
          <w:b/>
          <w:color w:val="000000" w:themeColor="text1"/>
        </w:rPr>
      </w:pPr>
    </w:p>
    <w:tbl>
      <w:tblPr>
        <w:tblW w:w="10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266"/>
        <w:gridCol w:w="1274"/>
        <w:gridCol w:w="1263"/>
        <w:gridCol w:w="1272"/>
        <w:gridCol w:w="943"/>
        <w:gridCol w:w="1263"/>
        <w:gridCol w:w="1265"/>
      </w:tblGrid>
      <w:tr w:rsidR="008C4FE2" w:rsidRPr="002C076A" w:rsidTr="008C4FE2">
        <w:trPr>
          <w:trHeight w:val="647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266" w:type="dxa"/>
            <w:vMerge w:val="restart"/>
          </w:tcPr>
          <w:p w:rsidR="006F2C8E" w:rsidRPr="002C076A" w:rsidRDefault="006F2C8E" w:rsidP="00EC4B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bCs/>
                <w:color w:val="000000" w:themeColor="text1"/>
                <w:sz w:val="20"/>
                <w:szCs w:val="20"/>
              </w:rPr>
              <w:t>Единицы измерения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отчетные данные</w:t>
            </w: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прогнозные данные</w:t>
            </w:r>
          </w:p>
        </w:tc>
      </w:tr>
      <w:tr w:rsidR="008C4FE2" w:rsidRPr="002C076A" w:rsidTr="008C4FE2">
        <w:trPr>
          <w:trHeight w:val="625"/>
        </w:trPr>
        <w:tc>
          <w:tcPr>
            <w:tcW w:w="2042" w:type="dxa"/>
            <w:vMerge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8C4FE2" w:rsidRPr="002C076A" w:rsidTr="008C4FE2">
        <w:trPr>
          <w:trHeight w:val="856"/>
        </w:trPr>
        <w:tc>
          <w:tcPr>
            <w:tcW w:w="2042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266" w:type="dxa"/>
            <w:vMerge w:val="restart"/>
          </w:tcPr>
          <w:p w:rsidR="006F2C8E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F2C8E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F2C8E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3668D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 xml:space="preserve">Чел. </w:t>
            </w:r>
          </w:p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(тыс. чел.)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125236</w:t>
            </w:r>
          </w:p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(125,2)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B1CFA" w:rsidRPr="002C076A" w:rsidRDefault="008C4FE2" w:rsidP="001B1CFA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</w:t>
            </w:r>
            <w:r w:rsidR="001B1CFA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122145,5</w:t>
            </w:r>
          </w:p>
          <w:p w:rsidR="006F2C8E" w:rsidRPr="002C076A" w:rsidRDefault="001B1CFA" w:rsidP="001B1CFA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*(122,2)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A41E0" w:rsidRPr="002C076A" w:rsidRDefault="001B1CFA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</w:t>
            </w:r>
            <w:r w:rsidR="008C4FE2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</w:t>
            </w:r>
            <w:r w:rsidR="00740F28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134297</w:t>
            </w:r>
          </w:p>
          <w:p w:rsidR="006F2C8E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(134,3)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8E" w:rsidRPr="002C076A" w:rsidRDefault="00C5291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134554</w:t>
            </w:r>
          </w:p>
          <w:p w:rsidR="00C5291E" w:rsidRPr="002C076A" w:rsidRDefault="00C5291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(134,5)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135</w:t>
            </w:r>
            <w:r w:rsidR="00503B69" w:rsidRPr="002C076A">
              <w:rPr>
                <w:b/>
                <w:color w:val="000000" w:themeColor="text1"/>
                <w:sz w:val="20"/>
                <w:szCs w:val="20"/>
              </w:rPr>
              <w:t>910</w:t>
            </w:r>
          </w:p>
          <w:p w:rsidR="00503B69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(135,9)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135</w:t>
            </w:r>
            <w:r w:rsidR="00503B69" w:rsidRPr="002C076A">
              <w:rPr>
                <w:b/>
                <w:color w:val="000000" w:themeColor="text1"/>
                <w:sz w:val="20"/>
                <w:szCs w:val="20"/>
              </w:rPr>
              <w:t>740</w:t>
            </w:r>
          </w:p>
          <w:p w:rsidR="00503B69" w:rsidRPr="002C076A" w:rsidRDefault="00C5291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(135,7</w:t>
            </w:r>
            <w:r w:rsidR="00BA41E0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C4FE2" w:rsidRPr="002C076A" w:rsidTr="008C4FE2">
        <w:trPr>
          <w:trHeight w:val="856"/>
        </w:trPr>
        <w:tc>
          <w:tcPr>
            <w:tcW w:w="2042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на конец года</w:t>
            </w:r>
          </w:p>
        </w:tc>
        <w:tc>
          <w:tcPr>
            <w:tcW w:w="1266" w:type="dxa"/>
            <w:vMerge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123557</w:t>
            </w:r>
          </w:p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(123,6)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B1CFA" w:rsidRPr="002C076A" w:rsidRDefault="008C4FE2" w:rsidP="001B1CFA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</w:t>
            </w:r>
            <w:r w:rsidR="001B1CFA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</w:t>
            </w:r>
            <w:r w:rsidR="001B1CFA" w:rsidRPr="002C076A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0734</w:t>
            </w:r>
          </w:p>
          <w:p w:rsidR="006F2C8E" w:rsidRPr="002C076A" w:rsidRDefault="001B1CFA" w:rsidP="001B1CFA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(120,7)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F2C8E" w:rsidRPr="002C076A" w:rsidRDefault="008C4FE2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***</w:t>
            </w:r>
            <w:r w:rsidR="00C5291E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133109</w:t>
            </w:r>
          </w:p>
          <w:p w:rsidR="00503B69" w:rsidRPr="002C076A" w:rsidRDefault="00C5291E" w:rsidP="00EC4B86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(133,1</w:t>
            </w:r>
            <w:r w:rsidR="00014F18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136</w:t>
            </w:r>
            <w:r w:rsidR="00503B69" w:rsidRPr="002C076A">
              <w:rPr>
                <w:b/>
                <w:color w:val="000000" w:themeColor="text1"/>
                <w:sz w:val="20"/>
                <w:szCs w:val="20"/>
              </w:rPr>
              <w:t>000</w:t>
            </w:r>
          </w:p>
          <w:p w:rsidR="00503B69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(136</w:t>
            </w:r>
            <w:r w:rsidR="00560EED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,0</w:t>
            </w: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F2C8E" w:rsidRPr="002C076A" w:rsidRDefault="00503B69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135820</w:t>
            </w:r>
          </w:p>
          <w:p w:rsidR="00503B69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(135,8)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135660</w:t>
            </w:r>
          </w:p>
          <w:p w:rsidR="00BA41E0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(135,7)</w:t>
            </w:r>
          </w:p>
        </w:tc>
      </w:tr>
    </w:tbl>
    <w:p w:rsidR="001B1CFA" w:rsidRPr="002C076A" w:rsidRDefault="001B1CFA" w:rsidP="001B1CFA">
      <w:pPr>
        <w:rPr>
          <w:rFonts w:eastAsia="Times New Roman"/>
          <w:color w:val="000000" w:themeColor="text1"/>
          <w:sz w:val="18"/>
          <w:szCs w:val="18"/>
        </w:rPr>
      </w:pPr>
      <w:r w:rsidRPr="002C076A">
        <w:rPr>
          <w:rFonts w:eastAsia="Times New Roman"/>
          <w:color w:val="000000" w:themeColor="text1"/>
          <w:sz w:val="18"/>
          <w:szCs w:val="18"/>
        </w:rPr>
        <w:t>*За счет округления при переходе в расчет в тыс. человек, получаются немного другие цифры</w:t>
      </w:r>
    </w:p>
    <w:p w:rsidR="001B1CFA" w:rsidRPr="002C076A" w:rsidRDefault="001B1CFA" w:rsidP="001B1CFA">
      <w:pPr>
        <w:rPr>
          <w:rFonts w:eastAsia="Times New Roman"/>
          <w:color w:val="000000" w:themeColor="text1"/>
          <w:sz w:val="20"/>
          <w:szCs w:val="20"/>
        </w:rPr>
      </w:pPr>
      <w:r w:rsidRPr="002C076A">
        <w:rPr>
          <w:rFonts w:eastAsia="Times New Roman"/>
          <w:color w:val="000000" w:themeColor="text1"/>
          <w:sz w:val="18"/>
          <w:szCs w:val="18"/>
        </w:rPr>
        <w:t>**</w:t>
      </w:r>
      <w:r w:rsidR="008C4FE2" w:rsidRPr="002C076A">
        <w:rPr>
          <w:rFonts w:eastAsia="Times New Roman"/>
          <w:color w:val="000000" w:themeColor="text1"/>
          <w:sz w:val="20"/>
          <w:szCs w:val="20"/>
        </w:rPr>
        <w:t>Без учёта</w:t>
      </w:r>
      <w:r w:rsidRPr="002C076A">
        <w:rPr>
          <w:rFonts w:eastAsia="Times New Roman"/>
          <w:color w:val="000000" w:themeColor="text1"/>
          <w:sz w:val="20"/>
          <w:szCs w:val="20"/>
        </w:rPr>
        <w:t xml:space="preserve"> итогов ВПН-2020</w:t>
      </w:r>
    </w:p>
    <w:p w:rsidR="00585B0C" w:rsidRPr="002C076A" w:rsidRDefault="008C4FE2" w:rsidP="008C4FE2">
      <w:pPr>
        <w:rPr>
          <w:rFonts w:eastAsia="Times New Roman"/>
          <w:color w:val="000000" w:themeColor="text1"/>
          <w:sz w:val="20"/>
          <w:szCs w:val="20"/>
        </w:rPr>
      </w:pPr>
      <w:r w:rsidRPr="002C076A">
        <w:rPr>
          <w:rFonts w:eastAsia="Times New Roman"/>
          <w:color w:val="000000" w:themeColor="text1"/>
          <w:sz w:val="20"/>
          <w:szCs w:val="20"/>
        </w:rPr>
        <w:t>***С учётом итогов ВПН-2020</w:t>
      </w:r>
      <w:r w:rsidR="00B513FF" w:rsidRPr="002C076A">
        <w:rPr>
          <w:rFonts w:eastAsia="Times New Roman"/>
          <w:color w:val="000000" w:themeColor="text1"/>
          <w:sz w:val="20"/>
          <w:szCs w:val="20"/>
        </w:rPr>
        <w:t xml:space="preserve"> (с 2022 по 2025 гг.)</w:t>
      </w:r>
    </w:p>
    <w:p w:rsidR="006E345F" w:rsidRPr="002C076A" w:rsidRDefault="006E345F" w:rsidP="008C4FE2">
      <w:pPr>
        <w:rPr>
          <w:color w:val="000000" w:themeColor="text1"/>
        </w:rPr>
      </w:pPr>
    </w:p>
    <w:p w:rsidR="00585B0C" w:rsidRPr="002C076A" w:rsidRDefault="00585B0C" w:rsidP="008C4FE2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IX</w:t>
      </w:r>
      <w:r w:rsidRPr="002C076A">
        <w:rPr>
          <w:b/>
          <w:bCs/>
          <w:color w:val="000000" w:themeColor="text1"/>
          <w:sz w:val="28"/>
          <w:szCs w:val="28"/>
        </w:rPr>
        <w:t>. Энергосбережение и повышение энергетической эффективности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39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lastRenderedPageBreak/>
        <w:t>Удельная величина потребления энергетических ресурсов в многоквартирных домах: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электрическая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тепловая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горячая вода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холодная вода</w:t>
      </w:r>
    </w:p>
    <w:p w:rsidR="00782A33" w:rsidRPr="002C076A" w:rsidRDefault="00782A33" w:rsidP="00782A33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природный газ</w:t>
      </w:r>
    </w:p>
    <w:p w:rsidR="00782A33" w:rsidRPr="002C076A" w:rsidRDefault="00782A33" w:rsidP="00284B2C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Расчёт показателей</w:t>
      </w:r>
      <w:r w:rsidR="00846B6F" w:rsidRPr="002C076A">
        <w:rPr>
          <w:bCs/>
          <w:color w:val="000000" w:themeColor="text1"/>
        </w:rPr>
        <w:t xml:space="preserve"> за 2022 год</w:t>
      </w:r>
      <w:r w:rsidRPr="002C076A">
        <w:rPr>
          <w:bCs/>
          <w:color w:val="000000" w:themeColor="text1"/>
        </w:rPr>
        <w:t>: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Удельная величина потребления энергетических ресурсов в многоквартирных домах: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электрическая энергия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п.30 формы 16. 147703611 </w:t>
      </w:r>
      <w:proofErr w:type="spellStart"/>
      <w:r w:rsidRPr="002C076A">
        <w:rPr>
          <w:bCs/>
          <w:color w:val="000000" w:themeColor="text1"/>
        </w:rPr>
        <w:t>кВт.ч</w:t>
      </w:r>
      <w:proofErr w:type="spellEnd"/>
      <w:r w:rsidRPr="002C076A">
        <w:rPr>
          <w:bCs/>
          <w:color w:val="000000" w:themeColor="text1"/>
        </w:rPr>
        <w:t xml:space="preserve"> /п. 27 численность проживающих 102389=1442,57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тепловая энергия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п.23 формы 16. 451851,81 Гкал / п. 24 формы 16- 2449255,02 </w:t>
      </w:r>
      <w:proofErr w:type="spellStart"/>
      <w:r w:rsidRPr="002C076A">
        <w:rPr>
          <w:bCs/>
          <w:color w:val="000000" w:themeColor="text1"/>
        </w:rPr>
        <w:t>кв.м</w:t>
      </w:r>
      <w:proofErr w:type="spellEnd"/>
      <w:r w:rsidRPr="002C076A">
        <w:rPr>
          <w:bCs/>
          <w:color w:val="000000" w:themeColor="text1"/>
        </w:rPr>
        <w:t>.=0,18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горячая вода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п.29а формы 16. 1509902,14 куб.</w:t>
      </w:r>
      <w:r w:rsidR="006D35F3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м. / п. 27 численность проживающих 102389=14,47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п.23а формы 16. 122267,04 Гкал / п. 27 численность проживающих 102389=1,19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п.29а + п.23а/ п. 27 = 15,93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 xml:space="preserve">холодная вода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п.26 формы 16. 2682095,38 куб. м. / п. 27 численность проживающих 102389 =26,19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природный газ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по отчету потребления природного газа населением от </w:t>
      </w:r>
      <w:proofErr w:type="spellStart"/>
      <w:r w:rsidRPr="002C076A">
        <w:rPr>
          <w:bCs/>
          <w:color w:val="000000" w:themeColor="text1"/>
        </w:rPr>
        <w:t>ресурсоснабжающей</w:t>
      </w:r>
      <w:proofErr w:type="spellEnd"/>
      <w:r w:rsidRPr="002C076A">
        <w:rPr>
          <w:bCs/>
          <w:color w:val="000000" w:themeColor="text1"/>
        </w:rPr>
        <w:t xml:space="preserve"> организации 10333189,43 куб. м. / п. 27 численность проживающих 102389 =100,92</w:t>
      </w:r>
    </w:p>
    <w:p w:rsidR="00585B0C" w:rsidRPr="002C076A" w:rsidRDefault="00585B0C" w:rsidP="00782A33">
      <w:pPr>
        <w:jc w:val="both"/>
        <w:rPr>
          <w:bCs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«Электрическая энергия»</w:t>
      </w:r>
    </w:p>
    <w:p w:rsidR="00782A33" w:rsidRPr="002C076A" w:rsidRDefault="00782A33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На территории </w:t>
      </w:r>
      <w:proofErr w:type="spellStart"/>
      <w:r w:rsidRPr="002C076A">
        <w:rPr>
          <w:bCs/>
          <w:color w:val="000000" w:themeColor="text1"/>
        </w:rPr>
        <w:t>Тосненского</w:t>
      </w:r>
      <w:proofErr w:type="spellEnd"/>
      <w:r w:rsidRPr="002C076A">
        <w:rPr>
          <w:bCs/>
          <w:color w:val="000000" w:themeColor="text1"/>
        </w:rPr>
        <w:t xml:space="preserve"> района населенные пункты городских и сельских поселений находятся в пересечении сферы обслуживания двух сбытовых и двух </w:t>
      </w:r>
      <w:proofErr w:type="spellStart"/>
      <w:r w:rsidRPr="002C076A">
        <w:rPr>
          <w:bCs/>
          <w:color w:val="000000" w:themeColor="text1"/>
        </w:rPr>
        <w:t>энергоснабжающих</w:t>
      </w:r>
      <w:proofErr w:type="spellEnd"/>
      <w:r w:rsidRPr="002C076A">
        <w:rPr>
          <w:bCs/>
          <w:color w:val="000000" w:themeColor="text1"/>
        </w:rPr>
        <w:t xml:space="preserve"> компаний, следовательно, информация по объемам электрической энергии может быть отражена не корректно. В 2022 году в связи с полным снятием режима самоизоляции и увеличением количества жителей в многоквартирных домах показатель к 2021 году уменьшился.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электроэнергии в 2020 году 143513256,6 кВт/ч на численность проживающих в МКД 100464 (показатель 1428,5);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электроэнергии в 2021 году 151054300 кВт/ч на численность проживающих в МКД 101896 (показатель 1482,43);</w:t>
      </w:r>
    </w:p>
    <w:p w:rsidR="00782A33" w:rsidRPr="002C076A" w:rsidRDefault="00091386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</w:t>
      </w:r>
      <w:r w:rsidR="00782A33" w:rsidRPr="002C076A">
        <w:rPr>
          <w:bCs/>
          <w:color w:val="000000" w:themeColor="text1"/>
        </w:rPr>
        <w:t>потребление электроэнергии в 2022 году 147703611 кВт/ч на численность проживающих в МКД 102389 (показатель 1442,57).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</w:p>
    <w:p w:rsidR="006D35F3" w:rsidRPr="002C076A" w:rsidRDefault="006D35F3" w:rsidP="00782A33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«Тепловая энергия»</w:t>
      </w:r>
    </w:p>
    <w:p w:rsidR="00782A33" w:rsidRPr="002C076A" w:rsidRDefault="00782A33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Удельная величина потребления в 2022 году уменьшилась в связи с повышением средней температуры наружного воздуха в отопительный.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тепловой энергии в 2020 году 387909,28 Гкал на площадь МКД 2371656,14 </w:t>
      </w:r>
      <w:proofErr w:type="spellStart"/>
      <w:r w:rsidRPr="002C076A">
        <w:rPr>
          <w:bCs/>
          <w:color w:val="000000" w:themeColor="text1"/>
        </w:rPr>
        <w:t>кв.м</w:t>
      </w:r>
      <w:proofErr w:type="spellEnd"/>
      <w:r w:rsidRPr="002C076A">
        <w:rPr>
          <w:bCs/>
          <w:color w:val="000000" w:themeColor="text1"/>
        </w:rPr>
        <w:t xml:space="preserve"> (показатель 0,16);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тепловой энергии в 2021 году 460418,4 Гкал на площадь МКД 23</w:t>
      </w:r>
      <w:r w:rsidR="00065029" w:rsidRPr="002C076A">
        <w:rPr>
          <w:bCs/>
          <w:color w:val="000000" w:themeColor="text1"/>
        </w:rPr>
        <w:t xml:space="preserve">71656,14 </w:t>
      </w:r>
      <w:proofErr w:type="spellStart"/>
      <w:r w:rsidR="00065029" w:rsidRPr="002C076A">
        <w:rPr>
          <w:bCs/>
          <w:color w:val="000000" w:themeColor="text1"/>
        </w:rPr>
        <w:t>кв.м</w:t>
      </w:r>
      <w:proofErr w:type="spellEnd"/>
      <w:r w:rsidR="00065029" w:rsidRPr="002C076A">
        <w:rPr>
          <w:bCs/>
          <w:color w:val="000000" w:themeColor="text1"/>
        </w:rPr>
        <w:t xml:space="preserve"> (показатель 0,19);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тепловой энергии в 2022 году 451851,81 Гкал на площадь МКД 2449255,02 </w:t>
      </w:r>
      <w:proofErr w:type="spellStart"/>
      <w:r w:rsidRPr="002C076A">
        <w:rPr>
          <w:bCs/>
          <w:color w:val="000000" w:themeColor="text1"/>
        </w:rPr>
        <w:t>кв.м</w:t>
      </w:r>
      <w:proofErr w:type="spellEnd"/>
      <w:r w:rsidRPr="002C076A">
        <w:rPr>
          <w:bCs/>
          <w:color w:val="000000" w:themeColor="text1"/>
        </w:rPr>
        <w:t xml:space="preserve"> (показатель 0,18).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«Горячая вода»</w:t>
      </w:r>
    </w:p>
    <w:p w:rsidR="00782A33" w:rsidRPr="002C076A" w:rsidRDefault="00782A33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Уменьшение потребления горячего водоснабжения в многоквартирных жилых домах населением связано с полным снятием режима самоизоляции.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lastRenderedPageBreak/>
        <w:t>- расчетное потребление горячей воды в 2021 году сумма компонентов холодной воды 1543161,86 куб.</w:t>
      </w:r>
      <w:r w:rsidR="00E43402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м. и тепловой энергии на нагрев холодной воды 123864,19 Гкал на численность проживающих в МКД 101896 (Сумм</w:t>
      </w:r>
      <w:r w:rsidR="00065029" w:rsidRPr="002C076A">
        <w:rPr>
          <w:bCs/>
          <w:color w:val="000000" w:themeColor="text1"/>
        </w:rPr>
        <w:t>а компонентов показатель 16,35);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расчетное потребление горячей воды в 2022 году сумма компонентов холодной воды 1509902,14 куб.</w:t>
      </w:r>
      <w:r w:rsidR="00E43402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м. и тепловой энергии на нагрев холодной воды 122267,04 Гкал на численность проживающих в МКД 102389 (Сумма компонентов показатель 15,93).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 xml:space="preserve"> «Холодная вода» </w:t>
      </w:r>
    </w:p>
    <w:p w:rsidR="00782A33" w:rsidRPr="002C076A" w:rsidRDefault="00091386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За 2022 год у</w:t>
      </w:r>
      <w:r w:rsidR="00782A33" w:rsidRPr="002C076A">
        <w:rPr>
          <w:bCs/>
          <w:color w:val="000000" w:themeColor="text1"/>
        </w:rPr>
        <w:t xml:space="preserve">меньшение потребления холодного водоснабжения в многоквартирных жилых домах населением связано с полным снятием режима самоизоляции.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холодной воды в 2020 году 2692887,08 куб. м на численность проживающих в МКД 100464 (показатель 26,80);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расчетное потребление холодной воды в 2021 году 2799324 куб. м. на численность проживающих </w:t>
      </w:r>
      <w:r w:rsidR="00065029" w:rsidRPr="002C076A">
        <w:rPr>
          <w:bCs/>
          <w:color w:val="000000" w:themeColor="text1"/>
        </w:rPr>
        <w:t>в МКД 101896 (показатель 27,47);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расчетное потребление холодной воды в 2022 году 2682095,38 куб. м. на численность проживающих в МКД 102389 (показатель 26,19).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«Газоснабжение»</w:t>
      </w:r>
    </w:p>
    <w:p w:rsidR="00782A33" w:rsidRPr="002C076A" w:rsidRDefault="00091386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За 2022</w:t>
      </w:r>
      <w:r w:rsidR="00782A33" w:rsidRPr="002C076A">
        <w:rPr>
          <w:bCs/>
          <w:color w:val="000000" w:themeColor="text1"/>
        </w:rPr>
        <w:t xml:space="preserve"> год потребление природного газа увеличилось, в связи с увеличением численности проживающих, на территории </w:t>
      </w:r>
      <w:proofErr w:type="spellStart"/>
      <w:r w:rsidR="00782A33" w:rsidRPr="002C076A">
        <w:rPr>
          <w:bCs/>
          <w:color w:val="000000" w:themeColor="text1"/>
        </w:rPr>
        <w:t>Тосненского</w:t>
      </w:r>
      <w:proofErr w:type="spellEnd"/>
      <w:r w:rsidR="00782A33" w:rsidRPr="002C076A">
        <w:rPr>
          <w:bCs/>
          <w:color w:val="000000" w:themeColor="text1"/>
        </w:rPr>
        <w:t xml:space="preserve"> района.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газа в 2020 году 8825809,34</w:t>
      </w:r>
      <w:r w:rsidR="00C93C68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куб. м на численность проживающих в МКД 100464 (показатель 87,85);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газа в 2021 году 9377258,65 </w:t>
      </w:r>
      <w:r w:rsidR="0033797F" w:rsidRPr="002C076A">
        <w:rPr>
          <w:bCs/>
          <w:color w:val="000000" w:themeColor="text1"/>
        </w:rPr>
        <w:t xml:space="preserve">куб. м </w:t>
      </w:r>
      <w:r w:rsidRPr="002C076A">
        <w:rPr>
          <w:bCs/>
          <w:color w:val="000000" w:themeColor="text1"/>
        </w:rPr>
        <w:t xml:space="preserve">на численность проживающих </w:t>
      </w:r>
      <w:r w:rsidR="00065029" w:rsidRPr="002C076A">
        <w:rPr>
          <w:bCs/>
          <w:color w:val="000000" w:themeColor="text1"/>
        </w:rPr>
        <w:t>в МКД 101896 (показатель 92,02);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газа в 2022 году 10333189,43 </w:t>
      </w:r>
      <w:r w:rsidR="0033797F" w:rsidRPr="002C076A">
        <w:rPr>
          <w:bCs/>
          <w:color w:val="000000" w:themeColor="text1"/>
        </w:rPr>
        <w:t xml:space="preserve">куб. м </w:t>
      </w:r>
      <w:r w:rsidRPr="002C076A">
        <w:rPr>
          <w:bCs/>
          <w:color w:val="000000" w:themeColor="text1"/>
        </w:rPr>
        <w:t>на численность проживающих в МКД 102389 (показатель 100,92).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40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Удельная величина потребления энергетических ресурсов муниципальными бюджетными учреждениями: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электрическая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тепловая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горячая вода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холодная вода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природный газ</w:t>
      </w:r>
    </w:p>
    <w:p w:rsidR="00846B6F" w:rsidRPr="002C076A" w:rsidRDefault="00846B6F" w:rsidP="00284B2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Расчёт показателей за 2022 год: 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«Электрическая энергия»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п.13 формы 16. 5582735,96 </w:t>
      </w:r>
      <w:proofErr w:type="spellStart"/>
      <w:r w:rsidRPr="002C076A">
        <w:rPr>
          <w:color w:val="000000" w:themeColor="text1"/>
        </w:rPr>
        <w:t>кВт.ч</w:t>
      </w:r>
      <w:proofErr w:type="spellEnd"/>
      <w:r w:rsidRPr="002C076A">
        <w:rPr>
          <w:color w:val="000000" w:themeColor="text1"/>
        </w:rPr>
        <w:t xml:space="preserve"> / численность населения 134297=41,57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«Тепловая энергия»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п.15 формы 16. 43909,23 Гкал / п.14 формы 16- 240552,62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.=0,18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«Горячая вода»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п.15а формы 16. 2445,68 Гкал / численность населения 134297=0,02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п.18 формы 16. 40451,44 куб. м. / численность населения 134297=0,30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п.15а + п.18 = 0,32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«Холодная вода»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п.16 формы 16. 75987,08 куб. м. / численность населения 134297=0,56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«Природный газ».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п.19 формы 16. 58712,45 куб. м. / численность населения 134297=0,44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846B6F" w:rsidRPr="002C076A" w:rsidRDefault="00585B0C" w:rsidP="00846B6F">
      <w:pPr>
        <w:jc w:val="both"/>
        <w:rPr>
          <w:b/>
          <w:i/>
          <w:iCs/>
          <w:color w:val="000000" w:themeColor="text1"/>
        </w:rPr>
      </w:pPr>
      <w:r w:rsidRPr="002C076A">
        <w:rPr>
          <w:i/>
          <w:iCs/>
          <w:color w:val="000000" w:themeColor="text1"/>
        </w:rPr>
        <w:t xml:space="preserve"> </w:t>
      </w:r>
      <w:r w:rsidR="00284B2C" w:rsidRPr="002C076A">
        <w:rPr>
          <w:i/>
          <w:iCs/>
          <w:color w:val="000000" w:themeColor="text1"/>
        </w:rPr>
        <w:tab/>
      </w:r>
      <w:r w:rsidR="00846B6F" w:rsidRPr="002C076A">
        <w:rPr>
          <w:i/>
          <w:iCs/>
          <w:color w:val="000000" w:themeColor="text1"/>
        </w:rPr>
        <w:t>«</w:t>
      </w:r>
      <w:r w:rsidR="00846B6F" w:rsidRPr="002C076A">
        <w:rPr>
          <w:b/>
          <w:i/>
          <w:iCs/>
          <w:color w:val="000000" w:themeColor="text1"/>
        </w:rPr>
        <w:t>Электрическая энергия»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</w:rPr>
      </w:pPr>
      <w:r w:rsidRPr="002C076A">
        <w:rPr>
          <w:iCs/>
          <w:color w:val="000000" w:themeColor="text1"/>
        </w:rPr>
        <w:t>Уменьшение показателя</w:t>
      </w:r>
      <w:r w:rsidRPr="002C076A">
        <w:rPr>
          <w:i/>
          <w:iCs/>
          <w:color w:val="000000" w:themeColor="text1"/>
        </w:rPr>
        <w:t xml:space="preserve"> </w:t>
      </w:r>
      <w:r w:rsidRPr="002C076A">
        <w:rPr>
          <w:color w:val="000000" w:themeColor="text1"/>
        </w:rPr>
        <w:t xml:space="preserve">удельной величины потребления энергетических ресурсов муниципальными бюджетными учреждениями по электрической энергии </w:t>
      </w:r>
      <w:r w:rsidR="00091386" w:rsidRPr="002C076A">
        <w:rPr>
          <w:color w:val="000000" w:themeColor="text1"/>
        </w:rPr>
        <w:t xml:space="preserve">за 2022 год </w:t>
      </w:r>
      <w:r w:rsidRPr="002C076A">
        <w:rPr>
          <w:color w:val="000000" w:themeColor="text1"/>
        </w:rPr>
        <w:lastRenderedPageBreak/>
        <w:t xml:space="preserve">связано с увеличением среднегодовой численности населения по отношению к 2021 году на 12151 человек, с уменьшением санитарно-эпидемиологических мероприятий, а также заключением </w:t>
      </w:r>
      <w:proofErr w:type="spellStart"/>
      <w:r w:rsidRPr="002C076A">
        <w:rPr>
          <w:color w:val="000000" w:themeColor="text1"/>
        </w:rPr>
        <w:t>энергосервисных</w:t>
      </w:r>
      <w:proofErr w:type="spellEnd"/>
      <w:r w:rsidRPr="002C076A">
        <w:rPr>
          <w:color w:val="000000" w:themeColor="text1"/>
        </w:rPr>
        <w:t xml:space="preserve"> контрактов на модернизацию внутреннего освещения с МКОУ «</w:t>
      </w:r>
      <w:proofErr w:type="spellStart"/>
      <w:r w:rsidRPr="002C076A">
        <w:rPr>
          <w:color w:val="000000" w:themeColor="text1"/>
        </w:rPr>
        <w:t>Войскоровской</w:t>
      </w:r>
      <w:proofErr w:type="spellEnd"/>
      <w:r w:rsidRPr="002C076A">
        <w:rPr>
          <w:color w:val="000000" w:themeColor="text1"/>
        </w:rPr>
        <w:t xml:space="preserve"> СОШ» и МКОУ ДО «</w:t>
      </w:r>
      <w:proofErr w:type="spellStart"/>
      <w:r w:rsidRPr="002C076A">
        <w:rPr>
          <w:color w:val="000000" w:themeColor="text1"/>
        </w:rPr>
        <w:t>Тосненская</w:t>
      </w:r>
      <w:proofErr w:type="spellEnd"/>
      <w:r w:rsidRPr="002C076A">
        <w:rPr>
          <w:color w:val="000000" w:themeColor="text1"/>
        </w:rPr>
        <w:t xml:space="preserve"> ШИ». 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за 2020 год – 8132644,84 кВт/ч на численность насе</w:t>
      </w:r>
      <w:r w:rsidR="00065029" w:rsidRPr="002C076A">
        <w:rPr>
          <w:color w:val="000000" w:themeColor="text1"/>
        </w:rPr>
        <w:t>ления 123557 (показатель 65,82);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электроэнергии в 2021 году 9603347,17 кВт/ч на численность насе</w:t>
      </w:r>
      <w:r w:rsidR="00065029" w:rsidRPr="002C076A">
        <w:rPr>
          <w:color w:val="000000" w:themeColor="text1"/>
        </w:rPr>
        <w:t>ления 122146 (показатель 78,62);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электроэнергии в 2022 году 5582735,96 кВт/ч на численность населения 134297 (показатель 41,57).</w:t>
      </w:r>
    </w:p>
    <w:p w:rsidR="00846B6F" w:rsidRPr="002C076A" w:rsidRDefault="00846B6F" w:rsidP="00846B6F">
      <w:pPr>
        <w:jc w:val="both"/>
        <w:rPr>
          <w:color w:val="000000" w:themeColor="text1"/>
          <w:sz w:val="28"/>
          <w:szCs w:val="28"/>
        </w:rPr>
      </w:pPr>
    </w:p>
    <w:p w:rsidR="00846B6F" w:rsidRPr="002C076A" w:rsidRDefault="00846B6F" w:rsidP="00284B2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«Тепловая энергия»</w:t>
      </w:r>
    </w:p>
    <w:p w:rsidR="00846B6F" w:rsidRPr="002C076A" w:rsidRDefault="00846B6F" w:rsidP="00846B6F">
      <w:pPr>
        <w:ind w:firstLine="708"/>
        <w:jc w:val="both"/>
        <w:rPr>
          <w:i/>
          <w:color w:val="000000" w:themeColor="text1"/>
        </w:rPr>
      </w:pPr>
      <w:r w:rsidRPr="002C076A">
        <w:rPr>
          <w:color w:val="000000" w:themeColor="text1"/>
        </w:rPr>
        <w:t>Показатель удельной величины потребления энергетических ресурсов по тепловой энергии муниципальными учреждениями уменьшился в 2022 году в связи с повышением среднесуточной температуры наружного воздуха в отопительный период. При консолидации данных в систему РГИС «</w:t>
      </w:r>
      <w:proofErr w:type="spellStart"/>
      <w:r w:rsidRPr="002C076A">
        <w:rPr>
          <w:color w:val="000000" w:themeColor="text1"/>
        </w:rPr>
        <w:t>Энергоэффективность</w:t>
      </w:r>
      <w:proofErr w:type="spellEnd"/>
      <w:r w:rsidRPr="002C076A">
        <w:rPr>
          <w:color w:val="000000" w:themeColor="text1"/>
        </w:rPr>
        <w:t>» выявлена техническая ошибка по площади занимае</w:t>
      </w:r>
      <w:r w:rsidR="00091386" w:rsidRPr="002C076A">
        <w:rPr>
          <w:color w:val="000000" w:themeColor="text1"/>
        </w:rPr>
        <w:t>мой муниципальными учреждениями.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потребление тепловой энергии в 2020 году 66078,9 Гкал на площадь муниципальных учреждений 396983,86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 xml:space="preserve"> (показатель 0,16);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в 2021 году 79548,44 Гкал на площадь муниципальных учреждений 4</w:t>
      </w:r>
      <w:r w:rsidR="00065029" w:rsidRPr="002C076A">
        <w:rPr>
          <w:color w:val="000000" w:themeColor="text1"/>
        </w:rPr>
        <w:t xml:space="preserve">02687,26 </w:t>
      </w:r>
      <w:proofErr w:type="spellStart"/>
      <w:r w:rsidR="00065029" w:rsidRPr="002C076A">
        <w:rPr>
          <w:color w:val="000000" w:themeColor="text1"/>
        </w:rPr>
        <w:t>кв.м</w:t>
      </w:r>
      <w:proofErr w:type="spellEnd"/>
      <w:r w:rsidR="00065029" w:rsidRPr="002C076A">
        <w:rPr>
          <w:color w:val="000000" w:themeColor="text1"/>
        </w:rPr>
        <w:t xml:space="preserve"> (показатель 0,20);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потребление тепловой энергии в 2022 году 43909,23 Гкал на площадь муниципальных учреждений 240552,62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 xml:space="preserve"> (показатель </w:t>
      </w:r>
      <w:r w:rsidR="00996219" w:rsidRPr="002C076A">
        <w:rPr>
          <w:color w:val="000000" w:themeColor="text1"/>
        </w:rPr>
        <w:t>0,18</w:t>
      </w:r>
      <w:r w:rsidRPr="002C076A">
        <w:rPr>
          <w:color w:val="000000" w:themeColor="text1"/>
        </w:rPr>
        <w:t>).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  <w:sz w:val="28"/>
          <w:szCs w:val="28"/>
        </w:rPr>
      </w:pPr>
    </w:p>
    <w:p w:rsidR="00846B6F" w:rsidRPr="002C076A" w:rsidRDefault="00846B6F" w:rsidP="00284B2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«Горячая вода»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Изменение показателя учета потребления горячей воды муниципальными учреждениями </w:t>
      </w:r>
      <w:r w:rsidR="00091386" w:rsidRPr="002C076A">
        <w:rPr>
          <w:color w:val="000000" w:themeColor="text1"/>
        </w:rPr>
        <w:t xml:space="preserve">за 2022 год </w:t>
      </w:r>
      <w:r w:rsidRPr="002C076A">
        <w:rPr>
          <w:color w:val="000000" w:themeColor="text1"/>
        </w:rPr>
        <w:t>обусловлено увеличением среднегодовой численности населения по отношению к 2021 году на 12151 человек и уменьшением санитарно-эпидемиологических мероприятий.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на приготовление горячей воды в 2020 году 4337,43 Гкал на численность населения 123557 чел.</w:t>
      </w:r>
      <w:r w:rsidR="00065029" w:rsidRPr="002C076A">
        <w:rPr>
          <w:color w:val="000000" w:themeColor="text1"/>
        </w:rPr>
        <w:t xml:space="preserve"> (показатель 0,03),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на приготовление горячей воды в 2020 году 58639,33 м3 на численность населени</w:t>
      </w:r>
      <w:r w:rsidR="00065029" w:rsidRPr="002C076A">
        <w:rPr>
          <w:color w:val="000000" w:themeColor="text1"/>
        </w:rPr>
        <w:t>я 123557 чел. (показатель 0,47).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Сумма комп</w:t>
      </w:r>
      <w:r w:rsidR="00065029" w:rsidRPr="002C076A">
        <w:rPr>
          <w:color w:val="000000" w:themeColor="text1"/>
        </w:rPr>
        <w:t>онентов равна (показатель 0,50);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на приготовление горячей воды в 2021 году 5471,13 Гкал на численность населения 122146 чел. (показатель 0,04),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на приготовление горячей воды в 2021 году 79201,25 м3 на численность населени</w:t>
      </w:r>
      <w:r w:rsidR="00065029" w:rsidRPr="002C076A">
        <w:rPr>
          <w:color w:val="000000" w:themeColor="text1"/>
        </w:rPr>
        <w:t>я 122146 чел. (показатель 0,65).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Сумма компонентов равна (показат</w:t>
      </w:r>
      <w:r w:rsidR="00065029" w:rsidRPr="002C076A">
        <w:rPr>
          <w:color w:val="000000" w:themeColor="text1"/>
        </w:rPr>
        <w:t>ель 0,69);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на приготовление горячей воды в 2022 году 2445,68 Гкал на численность населения 134297 чел. (показатель 0,02),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на п</w:t>
      </w:r>
      <w:r w:rsidR="00091386" w:rsidRPr="002C076A">
        <w:rPr>
          <w:color w:val="000000" w:themeColor="text1"/>
        </w:rPr>
        <w:t>риготовление горячей воды в 2022</w:t>
      </w:r>
      <w:r w:rsidRPr="002C076A">
        <w:rPr>
          <w:color w:val="000000" w:themeColor="text1"/>
        </w:rPr>
        <w:t xml:space="preserve"> году 40451,44 м3 на численность населения 134297 чел. (показатель 0,30</w:t>
      </w:r>
      <w:r w:rsidR="00065029" w:rsidRPr="002C076A">
        <w:rPr>
          <w:color w:val="000000" w:themeColor="text1"/>
        </w:rPr>
        <w:t>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Сумма компонентов равна (показатель 0,32).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</w:p>
    <w:p w:rsidR="00846B6F" w:rsidRPr="002C076A" w:rsidRDefault="00846B6F" w:rsidP="00284B2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«Холодная вода»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В 2022 году потребление холодной воды снизилось, в связи уменьшением санитарно-эпидемиологических мероприятий и увеличением среднегодовой численности населения по отношению к 2021 году на 12151 человек.</w:t>
      </w:r>
    </w:p>
    <w:p w:rsidR="00846B6F" w:rsidRPr="002C076A" w:rsidRDefault="00846B6F" w:rsidP="00091386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в 2020 году 99873,5 куб. м на численность населения 123557 чел. (показатель 0,80);</w:t>
      </w:r>
    </w:p>
    <w:p w:rsidR="00846B6F" w:rsidRPr="002C076A" w:rsidRDefault="00846B6F" w:rsidP="00091386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- потребление холодной воды в 2021 году 128116,14 куб. м. на численность населения 122146 чел. (показа</w:t>
      </w:r>
      <w:r w:rsidR="00065029" w:rsidRPr="002C076A">
        <w:rPr>
          <w:color w:val="000000" w:themeColor="text1"/>
        </w:rPr>
        <w:t>тель 1,04);</w:t>
      </w:r>
    </w:p>
    <w:p w:rsidR="00846B6F" w:rsidRPr="002C076A" w:rsidRDefault="00846B6F" w:rsidP="00091386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в 2022 году 75987,08 куб. м. на численность населения 134297 чел. (показатель 0,56).</w:t>
      </w:r>
    </w:p>
    <w:p w:rsidR="00846B6F" w:rsidRPr="002C076A" w:rsidRDefault="00846B6F" w:rsidP="00247910">
      <w:pPr>
        <w:jc w:val="both"/>
        <w:rPr>
          <w:i/>
          <w:color w:val="000000" w:themeColor="text1"/>
        </w:rPr>
      </w:pPr>
    </w:p>
    <w:p w:rsidR="00846B6F" w:rsidRPr="002C076A" w:rsidRDefault="00846B6F" w:rsidP="00284B2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«Природный газ»</w:t>
      </w:r>
    </w:p>
    <w:p w:rsidR="00AA14C5" w:rsidRPr="002C076A" w:rsidRDefault="00AA14C5" w:rsidP="00AA14C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С 2022 года природный газ используется на нужды отопления муниципального бюджетного дошкольного образовательного учреждения № 12 «Детский сад комбинированного вида Федоровского городского поселения».</w:t>
      </w:r>
    </w:p>
    <w:p w:rsidR="00AA14C5" w:rsidRPr="002C076A" w:rsidRDefault="00AA14C5" w:rsidP="00585B0C">
      <w:pPr>
        <w:jc w:val="both"/>
        <w:rPr>
          <w:i/>
          <w:iCs/>
          <w:color w:val="000000" w:themeColor="text1"/>
        </w:rPr>
      </w:pPr>
      <w:r w:rsidRPr="002C076A">
        <w:rPr>
          <w:color w:val="000000" w:themeColor="text1"/>
        </w:rPr>
        <w:t>- потребление газа за 2022 год 587123,45 куб. м. на численность населения 134297 чел. (показатель 0,44).</w:t>
      </w:r>
    </w:p>
    <w:p w:rsidR="00AA14C5" w:rsidRPr="002C076A" w:rsidRDefault="00AA14C5" w:rsidP="00585B0C">
      <w:pPr>
        <w:jc w:val="both"/>
        <w:rPr>
          <w:i/>
          <w:iCs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41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color w:val="000000" w:themeColor="text1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территории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 (при наличии):</w:t>
      </w:r>
    </w:p>
    <w:p w:rsidR="00585B0C" w:rsidRPr="002C076A" w:rsidRDefault="00585B0C" w:rsidP="00585B0C">
      <w:pPr>
        <w:spacing w:line="276" w:lineRule="auto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сфере культуры</w:t>
      </w:r>
    </w:p>
    <w:p w:rsidR="00585B0C" w:rsidRPr="002C076A" w:rsidRDefault="00585B0C" w:rsidP="00585B0C">
      <w:pPr>
        <w:spacing w:line="276" w:lineRule="auto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сфере образования</w:t>
      </w:r>
    </w:p>
    <w:p w:rsidR="006B4BD9" w:rsidRPr="002C076A" w:rsidRDefault="00585B0C" w:rsidP="00944C5D">
      <w:pPr>
        <w:ind w:firstLine="708"/>
        <w:jc w:val="both"/>
        <w:rPr>
          <w:b/>
          <w:color w:val="000000" w:themeColor="text1"/>
        </w:rPr>
      </w:pPr>
      <w:r w:rsidRPr="002C076A">
        <w:rPr>
          <w:rFonts w:eastAsia="Segoe UI"/>
          <w:b/>
          <w:i/>
          <w:color w:val="000000" w:themeColor="text1"/>
        </w:rPr>
        <w:t>в сфере культуры</w:t>
      </w:r>
      <w:r w:rsidRPr="002C076A">
        <w:rPr>
          <w:rFonts w:eastAsia="Segoe UI"/>
          <w:b/>
          <w:color w:val="000000" w:themeColor="text1"/>
        </w:rPr>
        <w:t>:</w:t>
      </w:r>
      <w:r w:rsidR="006B4BD9" w:rsidRPr="002C076A">
        <w:rPr>
          <w:b/>
          <w:color w:val="000000" w:themeColor="text1"/>
        </w:rPr>
        <w:t xml:space="preserve"> </w:t>
      </w:r>
    </w:p>
    <w:p w:rsidR="00E0642F" w:rsidRPr="002C076A" w:rsidRDefault="00E0642F" w:rsidP="00E0642F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2020 год - 83,6%, 2021 год - 84,9</w:t>
      </w:r>
      <w:r w:rsidR="005D79B5" w:rsidRPr="002C076A">
        <w:rPr>
          <w:rFonts w:eastAsiaTheme="minorHAnsi"/>
          <w:color w:val="000000" w:themeColor="text1"/>
          <w:lang w:eastAsia="en-US"/>
        </w:rPr>
        <w:t>1</w:t>
      </w:r>
      <w:r w:rsidRPr="002C076A">
        <w:rPr>
          <w:rFonts w:eastAsiaTheme="minorHAnsi"/>
          <w:color w:val="000000" w:themeColor="text1"/>
          <w:lang w:eastAsia="en-US"/>
        </w:rPr>
        <w:t>%, 2022 год - 83,04%, 2023 год - 100%, 2024 год - 100%, 2025 - 100%.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ab/>
        <w:t xml:space="preserve">В 2022 году независимая оценка качества условий оказания услуг муниципальными учреждениями культуры была проведена в 7 </w:t>
      </w:r>
      <w:proofErr w:type="gramStart"/>
      <w:r w:rsidRPr="002C076A">
        <w:rPr>
          <w:rFonts w:eastAsiaTheme="minorHAnsi"/>
          <w:color w:val="000000" w:themeColor="text1"/>
          <w:lang w:eastAsia="en-US"/>
        </w:rPr>
        <w:t>учреждениях  культуры</w:t>
      </w:r>
      <w:proofErr w:type="gramEnd"/>
      <w:r w:rsidRPr="002C076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Тосненского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района: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1.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Тосненская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межпоселенческая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библиотечная система» - 96,32%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2.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Красноборский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центр досуга и народного творчества» - 88,19%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3.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Ушакинский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центр досуга и народного творчества» - 88,07%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4.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Тельмановский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дом культуры» - 78,84%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5.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Лисинский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дом культуры» - 78,80%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6.   МКУК «Никольский дом культуры» - 76,40%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7.   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Пельгорский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дом культуры» - 74,62%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Общий показатель по итогам независимой оценки учреждений культуры на 2022 год составил 83,04 %.</w:t>
      </w:r>
    </w:p>
    <w:p w:rsidR="00585B0C" w:rsidRPr="002C076A" w:rsidRDefault="00585B0C" w:rsidP="00E0642F">
      <w:pPr>
        <w:jc w:val="both"/>
        <w:rPr>
          <w:color w:val="000000" w:themeColor="text1"/>
        </w:rPr>
      </w:pPr>
    </w:p>
    <w:p w:rsidR="00585B0C" w:rsidRPr="002C076A" w:rsidRDefault="00512F5A" w:rsidP="00944C5D">
      <w:pPr>
        <w:spacing w:line="276" w:lineRule="auto"/>
        <w:ind w:firstLine="360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сфере образования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Данная оценка проводится один раз в 3 года. В 2020 году, проведенной независимой оценкой качества образования (далее - НОКО) в 62 образовательных организациях (далее – ОО)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по следующим критериям оценивания: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открытость и доступность информации об ОО;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комфортность условий предоставления социальных услуг и доступность их получения;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-доброжелательность, вежливость, компетентность работников образовательной организации;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удовлетворенность качеством оказания услуг.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независимая оценка качества образования проводилась в 6 общеобразовательных организациях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по следующим критериям оценивания: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- открытость и доступность информации об ОО;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комфортность условий предоставления услуг;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доступность услуг для инвалидов;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-доброжелательность, вежливость, работников организации;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удовлетворенность условиями оказания услуг.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Фактическое значение данного показателя за 2022 год составило 97,21 (за 2021 - 97,12, за 2020 - 82,20). Плановый показатель на 2023 год - 100, 2024 год - 100, 2025 год - 100 баллов.</w:t>
      </w:r>
    </w:p>
    <w:p w:rsidR="00AB41CC" w:rsidRPr="002C076A" w:rsidRDefault="00AB41CC" w:rsidP="00740E75">
      <w:pPr>
        <w:shd w:val="clear" w:color="auto" w:fill="FFFFFF"/>
        <w:jc w:val="both"/>
        <w:rPr>
          <w:color w:val="000000" w:themeColor="text1"/>
        </w:rPr>
      </w:pPr>
    </w:p>
    <w:p w:rsidR="00C14DB3" w:rsidRPr="002C076A" w:rsidRDefault="00C14DB3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C14DB3" w:rsidRPr="002C076A" w:rsidRDefault="00C14DB3" w:rsidP="00C14DB3">
      <w:pPr>
        <w:shd w:val="clear" w:color="auto" w:fill="FFFFFF"/>
        <w:jc w:val="both"/>
        <w:rPr>
          <w:color w:val="000000" w:themeColor="text1"/>
        </w:rPr>
        <w:sectPr w:rsidR="00C14DB3" w:rsidRPr="002C076A" w:rsidSect="000A20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2C076A">
        <w:rPr>
          <w:color w:val="000000" w:themeColor="text1"/>
          <w:sz w:val="20"/>
          <w:szCs w:val="20"/>
        </w:rPr>
        <w:t>Расчеты показателей осуществляются в соответствии с методическими рекомендациями по подготовке сводного доклада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и его размещению в государственной автоматизированной информационной системе</w:t>
      </w:r>
      <w:r w:rsidR="00AB41CC" w:rsidRPr="002C076A">
        <w:rPr>
          <w:color w:val="000000" w:themeColor="text1"/>
          <w:sz w:val="20"/>
          <w:szCs w:val="20"/>
        </w:rPr>
        <w:t xml:space="preserve"> «СБОР»</w:t>
      </w:r>
    </w:p>
    <w:bookmarkEnd w:id="0"/>
    <w:p w:rsidR="000A2022" w:rsidRDefault="000A2022" w:rsidP="008C46A3">
      <w:pPr>
        <w:tabs>
          <w:tab w:val="left" w:pos="6030"/>
        </w:tabs>
      </w:pPr>
    </w:p>
    <w:sectPr w:rsidR="000A2022" w:rsidSect="000A2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BED"/>
    <w:multiLevelType w:val="hybridMultilevel"/>
    <w:tmpl w:val="BB9A91AA"/>
    <w:lvl w:ilvl="0" w:tplc="B096F6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2C667E"/>
    <w:multiLevelType w:val="hybridMultilevel"/>
    <w:tmpl w:val="8E72456C"/>
    <w:lvl w:ilvl="0" w:tplc="6ECE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7BC2"/>
    <w:multiLevelType w:val="hybridMultilevel"/>
    <w:tmpl w:val="237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1A93"/>
    <w:multiLevelType w:val="multilevel"/>
    <w:tmpl w:val="9FCCCAE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4">
    <w:nsid w:val="217A0101"/>
    <w:multiLevelType w:val="hybridMultilevel"/>
    <w:tmpl w:val="47ECA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B3E32"/>
    <w:multiLevelType w:val="hybridMultilevel"/>
    <w:tmpl w:val="6C80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82254"/>
    <w:multiLevelType w:val="hybridMultilevel"/>
    <w:tmpl w:val="4900E8B0"/>
    <w:lvl w:ilvl="0" w:tplc="206E78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072D2F"/>
    <w:multiLevelType w:val="hybridMultilevel"/>
    <w:tmpl w:val="CB8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641"/>
    <w:multiLevelType w:val="hybridMultilevel"/>
    <w:tmpl w:val="B7245562"/>
    <w:lvl w:ilvl="0" w:tplc="FC30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4CA2"/>
    <w:multiLevelType w:val="hybridMultilevel"/>
    <w:tmpl w:val="7FB01B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321E75"/>
    <w:multiLevelType w:val="hybridMultilevel"/>
    <w:tmpl w:val="FC06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23809"/>
    <w:multiLevelType w:val="hybridMultilevel"/>
    <w:tmpl w:val="1C1CB634"/>
    <w:lvl w:ilvl="0" w:tplc="8CAAD51C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2">
    <w:nsid w:val="587F4472"/>
    <w:multiLevelType w:val="hybridMultilevel"/>
    <w:tmpl w:val="23C8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34633D"/>
    <w:multiLevelType w:val="hybridMultilevel"/>
    <w:tmpl w:val="D9BA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62F18"/>
    <w:multiLevelType w:val="multilevel"/>
    <w:tmpl w:val="DF32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12E30"/>
    <w:multiLevelType w:val="hybridMultilevel"/>
    <w:tmpl w:val="39DC1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FB40F3"/>
    <w:multiLevelType w:val="multilevel"/>
    <w:tmpl w:val="F27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1F246A"/>
    <w:multiLevelType w:val="hybridMultilevel"/>
    <w:tmpl w:val="470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F565E"/>
    <w:multiLevelType w:val="hybridMultilevel"/>
    <w:tmpl w:val="470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6092"/>
    <w:multiLevelType w:val="hybridMultilevel"/>
    <w:tmpl w:val="0D82B37A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B903E6"/>
    <w:multiLevelType w:val="hybridMultilevel"/>
    <w:tmpl w:val="21A4070A"/>
    <w:lvl w:ilvl="0" w:tplc="B5286998">
      <w:start w:val="1"/>
      <w:numFmt w:val="upperRoman"/>
      <w:lvlText w:val="%1."/>
      <w:lvlJc w:val="left"/>
      <w:pPr>
        <w:ind w:left="73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1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5"/>
  </w:num>
  <w:num w:numId="18">
    <w:abstractNumId w:val="12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8"/>
    <w:rsid w:val="0000045D"/>
    <w:rsid w:val="000016B0"/>
    <w:rsid w:val="00014F18"/>
    <w:rsid w:val="0002034E"/>
    <w:rsid w:val="00031780"/>
    <w:rsid w:val="00034E5E"/>
    <w:rsid w:val="00040241"/>
    <w:rsid w:val="00043E7A"/>
    <w:rsid w:val="00051408"/>
    <w:rsid w:val="00051D76"/>
    <w:rsid w:val="00060966"/>
    <w:rsid w:val="00062731"/>
    <w:rsid w:val="00065029"/>
    <w:rsid w:val="00065345"/>
    <w:rsid w:val="00066B63"/>
    <w:rsid w:val="00091386"/>
    <w:rsid w:val="000913FC"/>
    <w:rsid w:val="00093B45"/>
    <w:rsid w:val="000A2022"/>
    <w:rsid w:val="000B056B"/>
    <w:rsid w:val="000C0806"/>
    <w:rsid w:val="000C3F89"/>
    <w:rsid w:val="000D35B1"/>
    <w:rsid w:val="000F0779"/>
    <w:rsid w:val="000F1F04"/>
    <w:rsid w:val="000F45BE"/>
    <w:rsid w:val="00104ED0"/>
    <w:rsid w:val="0010619F"/>
    <w:rsid w:val="00110430"/>
    <w:rsid w:val="001242CC"/>
    <w:rsid w:val="00126110"/>
    <w:rsid w:val="0013586C"/>
    <w:rsid w:val="001367A3"/>
    <w:rsid w:val="001606B0"/>
    <w:rsid w:val="0017014B"/>
    <w:rsid w:val="0017236C"/>
    <w:rsid w:val="00183525"/>
    <w:rsid w:val="00187C50"/>
    <w:rsid w:val="00195D01"/>
    <w:rsid w:val="001A7237"/>
    <w:rsid w:val="001B1CFA"/>
    <w:rsid w:val="001E15A7"/>
    <w:rsid w:val="001E38FF"/>
    <w:rsid w:val="001F499C"/>
    <w:rsid w:val="001F688D"/>
    <w:rsid w:val="00200CA4"/>
    <w:rsid w:val="00212917"/>
    <w:rsid w:val="0022121A"/>
    <w:rsid w:val="002275D7"/>
    <w:rsid w:val="00233F47"/>
    <w:rsid w:val="00237A9F"/>
    <w:rsid w:val="00241D56"/>
    <w:rsid w:val="00247910"/>
    <w:rsid w:val="00251499"/>
    <w:rsid w:val="00256B2A"/>
    <w:rsid w:val="00257564"/>
    <w:rsid w:val="002649AA"/>
    <w:rsid w:val="00265B07"/>
    <w:rsid w:val="0027773B"/>
    <w:rsid w:val="00284B2C"/>
    <w:rsid w:val="00290DF8"/>
    <w:rsid w:val="002A59ED"/>
    <w:rsid w:val="002B5E97"/>
    <w:rsid w:val="002B6839"/>
    <w:rsid w:val="002C076A"/>
    <w:rsid w:val="002C21F4"/>
    <w:rsid w:val="002D5097"/>
    <w:rsid w:val="002E1213"/>
    <w:rsid w:val="002E66B5"/>
    <w:rsid w:val="002E6FFF"/>
    <w:rsid w:val="00310C1F"/>
    <w:rsid w:val="00311B39"/>
    <w:rsid w:val="003208F2"/>
    <w:rsid w:val="00330303"/>
    <w:rsid w:val="0033797F"/>
    <w:rsid w:val="003417CA"/>
    <w:rsid w:val="0035020D"/>
    <w:rsid w:val="00352A73"/>
    <w:rsid w:val="00365C62"/>
    <w:rsid w:val="00374DBB"/>
    <w:rsid w:val="0038485D"/>
    <w:rsid w:val="00392CAC"/>
    <w:rsid w:val="0039373F"/>
    <w:rsid w:val="003B057F"/>
    <w:rsid w:val="003B17B5"/>
    <w:rsid w:val="003B798E"/>
    <w:rsid w:val="003C4B37"/>
    <w:rsid w:val="003C6F85"/>
    <w:rsid w:val="003E290A"/>
    <w:rsid w:val="003E32FB"/>
    <w:rsid w:val="003F4E7E"/>
    <w:rsid w:val="0043164B"/>
    <w:rsid w:val="00432AF9"/>
    <w:rsid w:val="004464BF"/>
    <w:rsid w:val="0045187D"/>
    <w:rsid w:val="00455475"/>
    <w:rsid w:val="0046276B"/>
    <w:rsid w:val="00465809"/>
    <w:rsid w:val="004667D7"/>
    <w:rsid w:val="004708F5"/>
    <w:rsid w:val="00473DEF"/>
    <w:rsid w:val="0048574E"/>
    <w:rsid w:val="004939EA"/>
    <w:rsid w:val="004946E0"/>
    <w:rsid w:val="004A26CA"/>
    <w:rsid w:val="004B009C"/>
    <w:rsid w:val="004C022E"/>
    <w:rsid w:val="004D4480"/>
    <w:rsid w:val="004E1094"/>
    <w:rsid w:val="004E1736"/>
    <w:rsid w:val="004E4450"/>
    <w:rsid w:val="004E492E"/>
    <w:rsid w:val="004E62B8"/>
    <w:rsid w:val="00503B69"/>
    <w:rsid w:val="00504F27"/>
    <w:rsid w:val="00511644"/>
    <w:rsid w:val="00512F5A"/>
    <w:rsid w:val="005143CB"/>
    <w:rsid w:val="00517D23"/>
    <w:rsid w:val="0054506F"/>
    <w:rsid w:val="0054713C"/>
    <w:rsid w:val="00560EED"/>
    <w:rsid w:val="005716F3"/>
    <w:rsid w:val="005828D6"/>
    <w:rsid w:val="00585B0C"/>
    <w:rsid w:val="005924A2"/>
    <w:rsid w:val="005948A5"/>
    <w:rsid w:val="005A18CF"/>
    <w:rsid w:val="005B452E"/>
    <w:rsid w:val="005B795E"/>
    <w:rsid w:val="005C2A21"/>
    <w:rsid w:val="005D79B5"/>
    <w:rsid w:val="00627C5F"/>
    <w:rsid w:val="0063668D"/>
    <w:rsid w:val="00642F8E"/>
    <w:rsid w:val="00666219"/>
    <w:rsid w:val="006746D8"/>
    <w:rsid w:val="00674968"/>
    <w:rsid w:val="00676114"/>
    <w:rsid w:val="00680371"/>
    <w:rsid w:val="00687100"/>
    <w:rsid w:val="006A124E"/>
    <w:rsid w:val="006A78B3"/>
    <w:rsid w:val="006B36D5"/>
    <w:rsid w:val="006B4070"/>
    <w:rsid w:val="006B4BD9"/>
    <w:rsid w:val="006C3337"/>
    <w:rsid w:val="006D1A58"/>
    <w:rsid w:val="006D35F3"/>
    <w:rsid w:val="006D7B8F"/>
    <w:rsid w:val="006E345F"/>
    <w:rsid w:val="006E5AE6"/>
    <w:rsid w:val="006F2C8E"/>
    <w:rsid w:val="006F3B69"/>
    <w:rsid w:val="00704EED"/>
    <w:rsid w:val="00723295"/>
    <w:rsid w:val="00724091"/>
    <w:rsid w:val="00730DC1"/>
    <w:rsid w:val="00740E75"/>
    <w:rsid w:val="00740F28"/>
    <w:rsid w:val="00742739"/>
    <w:rsid w:val="00777D7C"/>
    <w:rsid w:val="00782A33"/>
    <w:rsid w:val="007875D6"/>
    <w:rsid w:val="0079074E"/>
    <w:rsid w:val="007942A3"/>
    <w:rsid w:val="007A22C8"/>
    <w:rsid w:val="007A4E74"/>
    <w:rsid w:val="007B18C7"/>
    <w:rsid w:val="007E2BD6"/>
    <w:rsid w:val="007E7198"/>
    <w:rsid w:val="007F09CD"/>
    <w:rsid w:val="007F3827"/>
    <w:rsid w:val="00801434"/>
    <w:rsid w:val="008058C9"/>
    <w:rsid w:val="008079D9"/>
    <w:rsid w:val="00812C97"/>
    <w:rsid w:val="00816F74"/>
    <w:rsid w:val="00822AC9"/>
    <w:rsid w:val="0083250E"/>
    <w:rsid w:val="00834339"/>
    <w:rsid w:val="00834888"/>
    <w:rsid w:val="00834EF7"/>
    <w:rsid w:val="00835DFE"/>
    <w:rsid w:val="00837D1F"/>
    <w:rsid w:val="008431DE"/>
    <w:rsid w:val="00845BFB"/>
    <w:rsid w:val="00846B6F"/>
    <w:rsid w:val="00861FA1"/>
    <w:rsid w:val="0086361C"/>
    <w:rsid w:val="00875C20"/>
    <w:rsid w:val="00881AC8"/>
    <w:rsid w:val="00892F2D"/>
    <w:rsid w:val="00894EE1"/>
    <w:rsid w:val="008977CC"/>
    <w:rsid w:val="008A22D2"/>
    <w:rsid w:val="008A2C60"/>
    <w:rsid w:val="008B113B"/>
    <w:rsid w:val="008B3E4E"/>
    <w:rsid w:val="008C1BA7"/>
    <w:rsid w:val="008C46A3"/>
    <w:rsid w:val="008C4F9D"/>
    <w:rsid w:val="008C4FE2"/>
    <w:rsid w:val="008C5F94"/>
    <w:rsid w:val="008C7E86"/>
    <w:rsid w:val="008D2EFE"/>
    <w:rsid w:val="008D5E1B"/>
    <w:rsid w:val="008E1924"/>
    <w:rsid w:val="008E27A2"/>
    <w:rsid w:val="008E3F37"/>
    <w:rsid w:val="00901CCB"/>
    <w:rsid w:val="00903467"/>
    <w:rsid w:val="0091323E"/>
    <w:rsid w:val="00913E46"/>
    <w:rsid w:val="00927A87"/>
    <w:rsid w:val="00927EA3"/>
    <w:rsid w:val="00944621"/>
    <w:rsid w:val="00944C5D"/>
    <w:rsid w:val="00946BAF"/>
    <w:rsid w:val="009507CB"/>
    <w:rsid w:val="009732D8"/>
    <w:rsid w:val="00973F10"/>
    <w:rsid w:val="00980D4D"/>
    <w:rsid w:val="00981F81"/>
    <w:rsid w:val="00985169"/>
    <w:rsid w:val="00996219"/>
    <w:rsid w:val="009A28A2"/>
    <w:rsid w:val="009A2FD3"/>
    <w:rsid w:val="009A7C0C"/>
    <w:rsid w:val="009B0E24"/>
    <w:rsid w:val="009B7078"/>
    <w:rsid w:val="009C08D4"/>
    <w:rsid w:val="009D719A"/>
    <w:rsid w:val="00A041CA"/>
    <w:rsid w:val="00A11576"/>
    <w:rsid w:val="00A14BF3"/>
    <w:rsid w:val="00A27106"/>
    <w:rsid w:val="00A367CF"/>
    <w:rsid w:val="00A4020A"/>
    <w:rsid w:val="00A42D33"/>
    <w:rsid w:val="00A43959"/>
    <w:rsid w:val="00A54DFA"/>
    <w:rsid w:val="00A56082"/>
    <w:rsid w:val="00A56A0C"/>
    <w:rsid w:val="00A751B5"/>
    <w:rsid w:val="00A85977"/>
    <w:rsid w:val="00AA14C5"/>
    <w:rsid w:val="00AA3077"/>
    <w:rsid w:val="00AB137E"/>
    <w:rsid w:val="00AB41CC"/>
    <w:rsid w:val="00AB4D6B"/>
    <w:rsid w:val="00AC67C8"/>
    <w:rsid w:val="00AE5938"/>
    <w:rsid w:val="00B04DF3"/>
    <w:rsid w:val="00B10B5C"/>
    <w:rsid w:val="00B25725"/>
    <w:rsid w:val="00B447E5"/>
    <w:rsid w:val="00B463A4"/>
    <w:rsid w:val="00B46F46"/>
    <w:rsid w:val="00B513FF"/>
    <w:rsid w:val="00B62835"/>
    <w:rsid w:val="00B6342E"/>
    <w:rsid w:val="00B73B4F"/>
    <w:rsid w:val="00B75326"/>
    <w:rsid w:val="00B819EE"/>
    <w:rsid w:val="00B8263A"/>
    <w:rsid w:val="00B87EE1"/>
    <w:rsid w:val="00BA0B68"/>
    <w:rsid w:val="00BA407B"/>
    <w:rsid w:val="00BA41E0"/>
    <w:rsid w:val="00BC5820"/>
    <w:rsid w:val="00BD119C"/>
    <w:rsid w:val="00BD1549"/>
    <w:rsid w:val="00BD1CD5"/>
    <w:rsid w:val="00BD498E"/>
    <w:rsid w:val="00BE11FE"/>
    <w:rsid w:val="00BE3B95"/>
    <w:rsid w:val="00BF7394"/>
    <w:rsid w:val="00C067FD"/>
    <w:rsid w:val="00C14DB3"/>
    <w:rsid w:val="00C20CC8"/>
    <w:rsid w:val="00C24799"/>
    <w:rsid w:val="00C2792D"/>
    <w:rsid w:val="00C32873"/>
    <w:rsid w:val="00C35B64"/>
    <w:rsid w:val="00C3719F"/>
    <w:rsid w:val="00C43353"/>
    <w:rsid w:val="00C46519"/>
    <w:rsid w:val="00C46790"/>
    <w:rsid w:val="00C51DD9"/>
    <w:rsid w:val="00C5291E"/>
    <w:rsid w:val="00C54480"/>
    <w:rsid w:val="00C55055"/>
    <w:rsid w:val="00C60226"/>
    <w:rsid w:val="00C63524"/>
    <w:rsid w:val="00C670E9"/>
    <w:rsid w:val="00C74CC2"/>
    <w:rsid w:val="00C77FEE"/>
    <w:rsid w:val="00C850BA"/>
    <w:rsid w:val="00C91FD8"/>
    <w:rsid w:val="00C93C68"/>
    <w:rsid w:val="00CB5A77"/>
    <w:rsid w:val="00CC5E13"/>
    <w:rsid w:val="00CE046D"/>
    <w:rsid w:val="00CF4549"/>
    <w:rsid w:val="00D02C43"/>
    <w:rsid w:val="00D03CC7"/>
    <w:rsid w:val="00D10726"/>
    <w:rsid w:val="00D21DC8"/>
    <w:rsid w:val="00D23C7C"/>
    <w:rsid w:val="00D62924"/>
    <w:rsid w:val="00D72621"/>
    <w:rsid w:val="00D72EC6"/>
    <w:rsid w:val="00D85780"/>
    <w:rsid w:val="00D93038"/>
    <w:rsid w:val="00DB7A22"/>
    <w:rsid w:val="00DC340D"/>
    <w:rsid w:val="00DE5A39"/>
    <w:rsid w:val="00E0642F"/>
    <w:rsid w:val="00E06D14"/>
    <w:rsid w:val="00E07DC5"/>
    <w:rsid w:val="00E1474E"/>
    <w:rsid w:val="00E17D4C"/>
    <w:rsid w:val="00E203B6"/>
    <w:rsid w:val="00E33C9C"/>
    <w:rsid w:val="00E348C1"/>
    <w:rsid w:val="00E34A65"/>
    <w:rsid w:val="00E40679"/>
    <w:rsid w:val="00E40D3C"/>
    <w:rsid w:val="00E43402"/>
    <w:rsid w:val="00E43A8D"/>
    <w:rsid w:val="00E54D1F"/>
    <w:rsid w:val="00E63D09"/>
    <w:rsid w:val="00E640C5"/>
    <w:rsid w:val="00E81D5E"/>
    <w:rsid w:val="00E82722"/>
    <w:rsid w:val="00EC4B86"/>
    <w:rsid w:val="00EC5259"/>
    <w:rsid w:val="00EC7236"/>
    <w:rsid w:val="00ED1411"/>
    <w:rsid w:val="00ED32C2"/>
    <w:rsid w:val="00EE4B1A"/>
    <w:rsid w:val="00EF4A4F"/>
    <w:rsid w:val="00F02482"/>
    <w:rsid w:val="00F05CF2"/>
    <w:rsid w:val="00F06E6E"/>
    <w:rsid w:val="00F10657"/>
    <w:rsid w:val="00F22033"/>
    <w:rsid w:val="00F5184F"/>
    <w:rsid w:val="00F63927"/>
    <w:rsid w:val="00F67FE9"/>
    <w:rsid w:val="00F82B6F"/>
    <w:rsid w:val="00F841F8"/>
    <w:rsid w:val="00F872E8"/>
    <w:rsid w:val="00FC29FF"/>
    <w:rsid w:val="00FD6247"/>
    <w:rsid w:val="00FE050C"/>
    <w:rsid w:val="00FF415C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80AE-EDBE-49B7-B928-A3595E6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B0C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12"/>
    <w:basedOn w:val="a"/>
    <w:rsid w:val="006F3B6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text1cl">
    <w:name w:val="text1cl"/>
    <w:basedOn w:val="a"/>
    <w:rsid w:val="006F3B6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1D49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1D49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A20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2">
    <w:name w:val="xl82"/>
    <w:basedOn w:val="a"/>
    <w:rsid w:val="000A2022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0A2022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A20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A202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A20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0A2022"/>
    <w:pPr>
      <w:spacing w:before="100" w:beforeAutospacing="1" w:after="100" w:afterAutospacing="1"/>
    </w:pPr>
    <w:rPr>
      <w:rFonts w:eastAsia="Times New Roman"/>
      <w:b/>
      <w:bCs/>
      <w:color w:val="F80438"/>
    </w:rPr>
  </w:style>
  <w:style w:type="paragraph" w:customStyle="1" w:styleId="xl88">
    <w:name w:val="xl88"/>
    <w:basedOn w:val="a"/>
    <w:rsid w:val="000A2022"/>
    <w:pPr>
      <w:spacing w:before="100" w:beforeAutospacing="1" w:after="100" w:afterAutospacing="1"/>
    </w:pPr>
    <w:rPr>
      <w:rFonts w:eastAsia="Times New Roman"/>
      <w:b/>
      <w:bCs/>
      <w:color w:val="F80438"/>
      <w:sz w:val="18"/>
      <w:szCs w:val="18"/>
    </w:rPr>
  </w:style>
  <w:style w:type="paragraph" w:customStyle="1" w:styleId="xl89">
    <w:name w:val="xl8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20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5B0C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85B0C"/>
  </w:style>
  <w:style w:type="table" w:styleId="a4">
    <w:name w:val="Table Grid"/>
    <w:basedOn w:val="a1"/>
    <w:rsid w:val="00585B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85B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585B0C"/>
    <w:pPr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85B0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rsid w:val="00585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585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85B0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85B0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85B0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ntStyle72">
    <w:name w:val="Font Style72"/>
    <w:rsid w:val="00585B0C"/>
    <w:rPr>
      <w:rFonts w:ascii="Times New Roman" w:hAnsi="Times New Roman"/>
      <w:color w:val="000000"/>
      <w:sz w:val="24"/>
    </w:rPr>
  </w:style>
  <w:style w:type="paragraph" w:styleId="31">
    <w:name w:val="Body Text 3"/>
    <w:basedOn w:val="a"/>
    <w:link w:val="32"/>
    <w:semiHidden/>
    <w:rsid w:val="00585B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85B0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8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 Знак1 Знак Знак Знак Знак"/>
    <w:basedOn w:val="a"/>
    <w:rsid w:val="00585B0C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b">
    <w:name w:val="Основной текст_"/>
    <w:link w:val="5"/>
    <w:locked/>
    <w:rsid w:val="00585B0C"/>
    <w:rPr>
      <w:rFonts w:cs="Times New Roman"/>
      <w:spacing w:val="10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rsid w:val="00585B0C"/>
    <w:rPr>
      <w:rFonts w:cs="Times New Roman"/>
      <w:b/>
      <w:bCs/>
      <w:color w:val="000000"/>
      <w:spacing w:val="10"/>
      <w:w w:val="100"/>
      <w:position w:val="0"/>
      <w:sz w:val="26"/>
      <w:szCs w:val="26"/>
      <w:lang w:val="ru-RU" w:eastAsia="x-none"/>
    </w:rPr>
  </w:style>
  <w:style w:type="paragraph" w:customStyle="1" w:styleId="5">
    <w:name w:val="Основной текст5"/>
    <w:basedOn w:val="a"/>
    <w:link w:val="ab"/>
    <w:rsid w:val="00585B0C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585B0C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585B0C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585B0C"/>
    <w:pPr>
      <w:spacing w:before="100" w:beforeAutospacing="1" w:after="100" w:afterAutospacing="1"/>
    </w:pPr>
  </w:style>
  <w:style w:type="character" w:customStyle="1" w:styleId="s3">
    <w:name w:val="s3"/>
    <w:rsid w:val="00585B0C"/>
    <w:rPr>
      <w:rFonts w:cs="Times New Roman"/>
    </w:rPr>
  </w:style>
  <w:style w:type="paragraph" w:customStyle="1" w:styleId="p3">
    <w:name w:val="p3"/>
    <w:basedOn w:val="a"/>
    <w:rsid w:val="00585B0C"/>
    <w:pPr>
      <w:spacing w:before="100" w:beforeAutospacing="1" w:after="100" w:afterAutospacing="1"/>
    </w:pPr>
  </w:style>
  <w:style w:type="paragraph" w:customStyle="1" w:styleId="p1">
    <w:name w:val="p1"/>
    <w:basedOn w:val="a"/>
    <w:rsid w:val="00585B0C"/>
    <w:pPr>
      <w:spacing w:before="100" w:beforeAutospacing="1" w:after="100" w:afterAutospacing="1"/>
    </w:pPr>
  </w:style>
  <w:style w:type="character" w:customStyle="1" w:styleId="s1">
    <w:name w:val="s1"/>
    <w:rsid w:val="00585B0C"/>
    <w:rPr>
      <w:rFonts w:cs="Times New Roman"/>
    </w:rPr>
  </w:style>
  <w:style w:type="paragraph" w:customStyle="1" w:styleId="p2">
    <w:name w:val="p2"/>
    <w:basedOn w:val="a"/>
    <w:rsid w:val="00585B0C"/>
    <w:pPr>
      <w:spacing w:before="100" w:beforeAutospacing="1" w:after="100" w:afterAutospacing="1"/>
    </w:pPr>
  </w:style>
  <w:style w:type="character" w:customStyle="1" w:styleId="s4">
    <w:name w:val="s4"/>
    <w:rsid w:val="00585B0C"/>
    <w:rPr>
      <w:rFonts w:cs="Times New Roman"/>
    </w:rPr>
  </w:style>
  <w:style w:type="character" w:styleId="ae">
    <w:name w:val="Hyperlink"/>
    <w:rsid w:val="00585B0C"/>
    <w:rPr>
      <w:color w:val="0000FF"/>
      <w:u w:val="single"/>
    </w:rPr>
  </w:style>
  <w:style w:type="paragraph" w:styleId="af">
    <w:name w:val="Body Text"/>
    <w:basedOn w:val="a"/>
    <w:link w:val="af0"/>
    <w:unhideWhenUsed/>
    <w:rsid w:val="00585B0C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585B0C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rsid w:val="00585B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85B0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85B0C"/>
  </w:style>
  <w:style w:type="paragraph" w:styleId="af4">
    <w:name w:val="Plain Text"/>
    <w:basedOn w:val="a"/>
    <w:link w:val="af5"/>
    <w:rsid w:val="00585B0C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585B0C"/>
    <w:rPr>
      <w:rFonts w:ascii="Consolas" w:eastAsia="Calibri" w:hAnsi="Consolas" w:cs="Times New Roman"/>
      <w:sz w:val="21"/>
      <w:szCs w:val="21"/>
    </w:rPr>
  </w:style>
  <w:style w:type="character" w:customStyle="1" w:styleId="16">
    <w:name w:val="Слабое выделение1"/>
    <w:rsid w:val="00585B0C"/>
    <w:rPr>
      <w:rFonts w:cs="Times New Roman"/>
      <w:i/>
      <w:iCs/>
      <w:color w:val="808080"/>
    </w:rPr>
  </w:style>
  <w:style w:type="paragraph" w:customStyle="1" w:styleId="p11">
    <w:name w:val="p11"/>
    <w:basedOn w:val="a"/>
    <w:rsid w:val="00585B0C"/>
    <w:pPr>
      <w:spacing w:before="100" w:beforeAutospacing="1" w:after="100" w:afterAutospacing="1"/>
    </w:pPr>
  </w:style>
  <w:style w:type="paragraph" w:customStyle="1" w:styleId="af6">
    <w:name w:val="Знак Знак Знак Знак"/>
    <w:basedOn w:val="a"/>
    <w:rsid w:val="00585B0C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styleId="af7">
    <w:name w:val="Strong"/>
    <w:uiPriority w:val="22"/>
    <w:qFormat/>
    <w:rsid w:val="00585B0C"/>
    <w:rPr>
      <w:b/>
      <w:bCs/>
    </w:rPr>
  </w:style>
  <w:style w:type="character" w:customStyle="1" w:styleId="wmi-callto">
    <w:name w:val="wmi-callto"/>
    <w:rsid w:val="00585B0C"/>
  </w:style>
  <w:style w:type="paragraph" w:customStyle="1" w:styleId="17">
    <w:name w:val="Без интервала1"/>
    <w:rsid w:val="00585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585B0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585B0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85B0C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Без интервала Знак"/>
    <w:link w:val="a9"/>
    <w:uiPriority w:val="1"/>
    <w:locked/>
    <w:rsid w:val="0058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абзац"/>
    <w:basedOn w:val="a"/>
    <w:link w:val="afb"/>
    <w:qFormat/>
    <w:rsid w:val="00585B0C"/>
    <w:pPr>
      <w:ind w:firstLine="851"/>
      <w:jc w:val="both"/>
    </w:pPr>
    <w:rPr>
      <w:sz w:val="28"/>
      <w:szCs w:val="28"/>
      <w:lang w:eastAsia="en-US"/>
    </w:rPr>
  </w:style>
  <w:style w:type="character" w:customStyle="1" w:styleId="afb">
    <w:name w:val="абзац Знак"/>
    <w:link w:val="afa"/>
    <w:rsid w:val="00585B0C"/>
    <w:rPr>
      <w:rFonts w:ascii="Times New Roman" w:eastAsia="Calibri" w:hAnsi="Times New Roman" w:cs="Times New Roman"/>
      <w:sz w:val="28"/>
      <w:szCs w:val="28"/>
    </w:rPr>
  </w:style>
  <w:style w:type="character" w:styleId="afc">
    <w:name w:val="Emphasis"/>
    <w:qFormat/>
    <w:rsid w:val="00585B0C"/>
    <w:rPr>
      <w:i/>
      <w:iCs/>
    </w:rPr>
  </w:style>
  <w:style w:type="paragraph" w:customStyle="1" w:styleId="Textbody">
    <w:name w:val="Text body"/>
    <w:basedOn w:val="a"/>
    <w:rsid w:val="00585B0C"/>
    <w:pPr>
      <w:widowControl w:val="0"/>
      <w:suppressAutoHyphens/>
      <w:autoSpaceDN w:val="0"/>
    </w:pPr>
    <w:rPr>
      <w:rFonts w:ascii="Arial" w:eastAsia="Arial Unicode MS" w:hAnsi="Arial" w:cs="Tahoma"/>
      <w:kern w:val="3"/>
    </w:rPr>
  </w:style>
  <w:style w:type="paragraph" w:customStyle="1" w:styleId="120">
    <w:name w:val="Знак Знак12"/>
    <w:basedOn w:val="a"/>
    <w:rsid w:val="00642F8E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303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937C5EFEA560FCE0D691B705FED1C45B1B2939C6F67B566FA01C7B44146AFB348E2953B3786B954F8C24C21ECCF529AEDD4851ED5DA3B4M7S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F515-A3CC-4AD6-B3F3-8225A0FF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12049</TotalTime>
  <Pages>48</Pages>
  <Words>14139</Words>
  <Characters>80595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Консуэла Владимировна</dc:creator>
  <cp:keywords/>
  <dc:description/>
  <cp:lastModifiedBy>Осипова Консуэла Владимировна</cp:lastModifiedBy>
  <cp:revision>363</cp:revision>
  <cp:lastPrinted>2023-04-14T07:31:00Z</cp:lastPrinted>
  <dcterms:created xsi:type="dcterms:W3CDTF">2022-04-26T07:00:00Z</dcterms:created>
  <dcterms:modified xsi:type="dcterms:W3CDTF">2023-04-27T10:55:00Z</dcterms:modified>
</cp:coreProperties>
</file>