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7" w:rsidRDefault="000C186E" w:rsidP="00593A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B80B97" w:rsidRPr="00B80B97">
        <w:rPr>
          <w:rFonts w:ascii="Times New Roman" w:hAnsi="Times New Roman"/>
          <w:b/>
          <w:sz w:val="28"/>
          <w:szCs w:val="28"/>
        </w:rPr>
        <w:t xml:space="preserve">о результатах проведения комитетом финансов администрации муниципального образования Тосненский район Ленинградской области </w:t>
      </w:r>
      <w:r w:rsidR="00593AFD" w:rsidRPr="00B80B97">
        <w:rPr>
          <w:rFonts w:ascii="Times New Roman" w:hAnsi="Times New Roman"/>
          <w:b/>
          <w:sz w:val="28"/>
          <w:szCs w:val="28"/>
        </w:rPr>
        <w:t>контрольных мероприятий</w:t>
      </w:r>
      <w:r w:rsidR="00593AFD">
        <w:rPr>
          <w:rFonts w:ascii="Times New Roman" w:hAnsi="Times New Roman"/>
          <w:b/>
          <w:sz w:val="28"/>
          <w:szCs w:val="28"/>
        </w:rPr>
        <w:t xml:space="preserve"> </w:t>
      </w:r>
      <w:r w:rsidR="00B80B97" w:rsidRPr="00B80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за </w:t>
      </w:r>
      <w:r w:rsidR="00DD44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1 квартал </w:t>
      </w:r>
      <w:r w:rsidR="00B80B97" w:rsidRPr="00B80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202</w:t>
      </w:r>
      <w:r w:rsidR="00DD442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="00B80B97" w:rsidRPr="00B80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</w:t>
      </w:r>
    </w:p>
    <w:p w:rsidR="00732B0D" w:rsidRPr="00B80B97" w:rsidRDefault="00732B0D" w:rsidP="00570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3CA" w:rsidRPr="00C81D57" w:rsidRDefault="00AB53CA" w:rsidP="0052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D57">
        <w:rPr>
          <w:rFonts w:ascii="Times New Roman" w:hAnsi="Times New Roman"/>
          <w:sz w:val="28"/>
          <w:szCs w:val="28"/>
        </w:rPr>
        <w:t xml:space="preserve">В целях предупреждения нарушений принципов законности, результативности и экономности использования бюджетных средств муниципального образования Тосненский район Ленинградской области и Тосненского городского поселения Тосненского </w:t>
      </w:r>
      <w:r w:rsidR="005E74DE">
        <w:rPr>
          <w:rFonts w:ascii="Times New Roman" w:hAnsi="Times New Roman"/>
          <w:sz w:val="28"/>
          <w:szCs w:val="28"/>
        </w:rPr>
        <w:t xml:space="preserve">муниципального </w:t>
      </w:r>
      <w:r w:rsidRPr="00C81D57">
        <w:rPr>
          <w:rFonts w:ascii="Times New Roman" w:hAnsi="Times New Roman"/>
          <w:sz w:val="28"/>
          <w:szCs w:val="28"/>
        </w:rPr>
        <w:t xml:space="preserve">района Ленинградской области, осуществления мероприятий по сокращению нарушений, а также в целях возмещения причиненного ущерба </w:t>
      </w:r>
      <w:r w:rsidR="006B583D" w:rsidRPr="00C81D57">
        <w:rPr>
          <w:rFonts w:ascii="Times New Roman" w:hAnsi="Times New Roman"/>
          <w:sz w:val="28"/>
          <w:szCs w:val="28"/>
        </w:rPr>
        <w:t>муниципальным образованиям</w:t>
      </w:r>
      <w:r w:rsidRPr="00C81D57">
        <w:rPr>
          <w:rFonts w:ascii="Times New Roman" w:hAnsi="Times New Roman"/>
          <w:sz w:val="28"/>
          <w:szCs w:val="28"/>
        </w:rPr>
        <w:t xml:space="preserve">, осуществляется </w:t>
      </w:r>
      <w:r w:rsidR="006B583D" w:rsidRPr="00C81D57">
        <w:rPr>
          <w:rFonts w:ascii="Times New Roman" w:hAnsi="Times New Roman"/>
          <w:sz w:val="28"/>
          <w:szCs w:val="28"/>
        </w:rPr>
        <w:t>внутренний муниципальный</w:t>
      </w:r>
      <w:r w:rsidRPr="00C81D57">
        <w:rPr>
          <w:rFonts w:ascii="Times New Roman" w:hAnsi="Times New Roman"/>
          <w:sz w:val="28"/>
          <w:szCs w:val="28"/>
        </w:rPr>
        <w:t xml:space="preserve"> финансовый контроль, в том числе контроль в сфере закупок товаров, работ, услуг для обеспечения </w:t>
      </w:r>
      <w:r w:rsidR="006B583D" w:rsidRPr="00C81D57">
        <w:rPr>
          <w:rFonts w:ascii="Times New Roman" w:hAnsi="Times New Roman"/>
          <w:sz w:val="28"/>
          <w:szCs w:val="28"/>
        </w:rPr>
        <w:t>муниципальных нужд</w:t>
      </w:r>
      <w:r w:rsidRPr="00C81D57">
        <w:rPr>
          <w:rFonts w:ascii="Times New Roman" w:hAnsi="Times New Roman"/>
          <w:sz w:val="28"/>
          <w:szCs w:val="28"/>
        </w:rPr>
        <w:t>.</w:t>
      </w:r>
    </w:p>
    <w:p w:rsidR="008A042F" w:rsidRDefault="008A042F" w:rsidP="008A042F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221">
        <w:rPr>
          <w:rFonts w:ascii="Times New Roman" w:hAnsi="Times New Roman"/>
          <w:color w:val="000000" w:themeColor="text1"/>
          <w:sz w:val="28"/>
          <w:szCs w:val="28"/>
        </w:rPr>
        <w:t>Контрольные мероприятия</w:t>
      </w:r>
      <w:r w:rsidRPr="00C81D57">
        <w:rPr>
          <w:rFonts w:ascii="Times New Roman" w:hAnsi="Times New Roman"/>
          <w:sz w:val="28"/>
          <w:szCs w:val="28"/>
        </w:rPr>
        <w:t xml:space="preserve"> проведены </w:t>
      </w:r>
      <w:r w:rsidR="002472F1" w:rsidRPr="00C81D57">
        <w:rPr>
          <w:rFonts w:ascii="Times New Roman" w:hAnsi="Times New Roman"/>
          <w:sz w:val="28"/>
          <w:szCs w:val="28"/>
        </w:rPr>
        <w:t xml:space="preserve">должностными лицами отдела финансового контроля комитета финансов администрации муниципального образования </w:t>
      </w:r>
      <w:proofErr w:type="spellStart"/>
      <w:r w:rsidR="002472F1" w:rsidRPr="00C81D5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="002472F1" w:rsidRPr="00C81D57">
        <w:rPr>
          <w:rFonts w:ascii="Times New Roman" w:hAnsi="Times New Roman"/>
          <w:sz w:val="28"/>
          <w:szCs w:val="28"/>
        </w:rPr>
        <w:t xml:space="preserve"> район Ленинградской области </w:t>
      </w:r>
      <w:r w:rsidRPr="00C81D57">
        <w:rPr>
          <w:rFonts w:ascii="Times New Roman" w:hAnsi="Times New Roman"/>
          <w:sz w:val="28"/>
          <w:szCs w:val="28"/>
        </w:rPr>
        <w:t xml:space="preserve">на основании </w:t>
      </w:r>
      <w:r w:rsidRPr="00D7576E">
        <w:rPr>
          <w:rFonts w:ascii="Times New Roman" w:hAnsi="Times New Roman"/>
          <w:sz w:val="28"/>
          <w:szCs w:val="28"/>
        </w:rPr>
        <w:t xml:space="preserve">плана контрольных мероприятий комитета финансов администрации муниципального образования </w:t>
      </w:r>
      <w:proofErr w:type="spellStart"/>
      <w:r w:rsidRPr="00D7576E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D7576E">
        <w:rPr>
          <w:rFonts w:ascii="Times New Roman" w:hAnsi="Times New Roman"/>
          <w:sz w:val="28"/>
          <w:szCs w:val="28"/>
        </w:rPr>
        <w:t xml:space="preserve"> район Ленинградской области по осуществлению внутреннего муниципального финансового контроля на 202</w:t>
      </w:r>
      <w:r>
        <w:rPr>
          <w:rFonts w:ascii="Times New Roman" w:hAnsi="Times New Roman"/>
          <w:sz w:val="28"/>
          <w:szCs w:val="28"/>
        </w:rPr>
        <w:t>3</w:t>
      </w:r>
      <w:r w:rsidRPr="00D7576E">
        <w:rPr>
          <w:rFonts w:ascii="Times New Roman" w:hAnsi="Times New Roman"/>
          <w:sz w:val="28"/>
          <w:szCs w:val="28"/>
        </w:rPr>
        <w:t xml:space="preserve"> год, утвержденного приказом комитета финансов администрации муниципального образования </w:t>
      </w:r>
      <w:proofErr w:type="spellStart"/>
      <w:r w:rsidRPr="00D7576E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D7576E">
        <w:rPr>
          <w:rFonts w:ascii="Times New Roman" w:hAnsi="Times New Roman"/>
          <w:sz w:val="28"/>
          <w:szCs w:val="28"/>
        </w:rPr>
        <w:t xml:space="preserve"> район Ленинградской области </w:t>
      </w:r>
      <w:r w:rsidRPr="00B35D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08.12.2022</w:t>
      </w:r>
      <w:r w:rsidRPr="00B35D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177</w:t>
      </w:r>
      <w:r w:rsidRPr="00C81D57">
        <w:rPr>
          <w:rFonts w:ascii="Times New Roman" w:hAnsi="Times New Roman"/>
          <w:sz w:val="28"/>
          <w:szCs w:val="28"/>
        </w:rPr>
        <w:t>.</w:t>
      </w:r>
    </w:p>
    <w:p w:rsidR="009232C5" w:rsidRPr="00C81D57" w:rsidRDefault="0044357F" w:rsidP="008A042F">
      <w:pPr>
        <w:pStyle w:val="a5"/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32C5"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>е</w:t>
      </w:r>
      <w:r w:rsidR="009232C5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t xml:space="preserve">назначено </w:t>
      </w:r>
      <w:r w:rsidR="002472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плановых контрольных мероприятия, из которых </w:t>
      </w:r>
      <w:r w:rsidR="002472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2472F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завершено, 2 мероприятия находятся в процессе исполнения</w:t>
      </w:r>
      <w:r w:rsidR="009232C5">
        <w:rPr>
          <w:rFonts w:ascii="Times New Roman" w:hAnsi="Times New Roman"/>
          <w:sz w:val="28"/>
          <w:szCs w:val="28"/>
        </w:rPr>
        <w:t>.</w:t>
      </w:r>
    </w:p>
    <w:p w:rsidR="00D66D7D" w:rsidRPr="00C81D57" w:rsidRDefault="00323FB4" w:rsidP="00001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D57">
        <w:rPr>
          <w:rFonts w:ascii="Times New Roman" w:hAnsi="Times New Roman"/>
          <w:sz w:val="28"/>
          <w:szCs w:val="28"/>
        </w:rPr>
        <w:t xml:space="preserve">В </w:t>
      </w:r>
      <w:r w:rsidR="00D35D19">
        <w:rPr>
          <w:rFonts w:ascii="Times New Roman" w:hAnsi="Times New Roman"/>
          <w:sz w:val="28"/>
          <w:szCs w:val="28"/>
        </w:rPr>
        <w:t>соответствии со ст. 269.2 Бюджетного кодекса РФ</w:t>
      </w:r>
      <w:r w:rsidR="009232C5">
        <w:rPr>
          <w:rFonts w:ascii="Times New Roman" w:hAnsi="Times New Roman"/>
          <w:sz w:val="28"/>
          <w:szCs w:val="28"/>
        </w:rPr>
        <w:t>, федеральным стандартом внутреннего государственного (муниципального) финансового контроля "Планирование проверок, ревизий, обследований", утвержденным постановлением Правительства РФ от 27.02.2020 № 208,</w:t>
      </w:r>
      <w:r w:rsidR="00D35D19">
        <w:rPr>
          <w:rFonts w:ascii="Times New Roman" w:hAnsi="Times New Roman"/>
          <w:sz w:val="28"/>
          <w:szCs w:val="28"/>
        </w:rPr>
        <w:t xml:space="preserve"> </w:t>
      </w:r>
      <w:r w:rsidR="00E178B5" w:rsidRPr="00C81D57">
        <w:rPr>
          <w:rFonts w:ascii="Times New Roman" w:hAnsi="Times New Roman"/>
          <w:sz w:val="28"/>
          <w:szCs w:val="28"/>
        </w:rPr>
        <w:t>контрольные мероприятия</w:t>
      </w:r>
      <w:r w:rsidR="001778C2" w:rsidRPr="00C81D57">
        <w:rPr>
          <w:rFonts w:ascii="Times New Roman" w:hAnsi="Times New Roman"/>
          <w:sz w:val="28"/>
          <w:szCs w:val="28"/>
        </w:rPr>
        <w:t xml:space="preserve"> </w:t>
      </w:r>
      <w:r w:rsidR="00DA2D64">
        <w:rPr>
          <w:rFonts w:ascii="Times New Roman" w:hAnsi="Times New Roman"/>
          <w:sz w:val="28"/>
          <w:szCs w:val="28"/>
        </w:rPr>
        <w:t xml:space="preserve">проведены </w:t>
      </w:r>
      <w:r w:rsidR="001778C2" w:rsidRPr="00C81D57">
        <w:rPr>
          <w:rFonts w:ascii="Times New Roman" w:hAnsi="Times New Roman"/>
          <w:sz w:val="28"/>
          <w:szCs w:val="28"/>
        </w:rPr>
        <w:t>по следующим темам</w:t>
      </w:r>
      <w:r w:rsidR="00D66D7D" w:rsidRPr="00C81D57">
        <w:rPr>
          <w:rFonts w:ascii="Times New Roman" w:hAnsi="Times New Roman"/>
          <w:sz w:val="28"/>
          <w:szCs w:val="28"/>
        </w:rPr>
        <w:t>:</w:t>
      </w:r>
    </w:p>
    <w:p w:rsidR="00D66D7D" w:rsidRPr="00D702A5" w:rsidRDefault="00D702A5" w:rsidP="0000183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02A5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Проверка осуществления расходов бюджета муниципального образования </w:t>
      </w:r>
      <w:proofErr w:type="spellStart"/>
      <w:r w:rsidRPr="00D702A5">
        <w:rPr>
          <w:rFonts w:ascii="Times New Roman" w:hAnsi="Times New Roman"/>
          <w:i/>
          <w:color w:val="000000" w:themeColor="text1"/>
          <w:sz w:val="28"/>
          <w:szCs w:val="28"/>
        </w:rPr>
        <w:t>Тосненский</w:t>
      </w:r>
      <w:proofErr w:type="spellEnd"/>
      <w:r w:rsidRPr="00D702A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муниципальный район Ленинградской области на реализацию мероприятий муниципальной программы "Поддержка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D702A5">
        <w:rPr>
          <w:rFonts w:ascii="Times New Roman" w:hAnsi="Times New Roman"/>
          <w:i/>
          <w:color w:val="000000" w:themeColor="text1"/>
          <w:sz w:val="28"/>
          <w:szCs w:val="28"/>
        </w:rPr>
        <w:t>Тосненский</w:t>
      </w:r>
      <w:proofErr w:type="spellEnd"/>
      <w:r w:rsidRPr="00D702A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район Ленинградской области" и достоверности отчета о реализации муниципальной программы</w:t>
      </w:r>
      <w:r w:rsidR="00323FB4" w:rsidRPr="00D702A5">
        <w:rPr>
          <w:rFonts w:ascii="Times New Roman" w:hAnsi="Times New Roman"/>
          <w:i/>
          <w:sz w:val="28"/>
          <w:szCs w:val="28"/>
        </w:rPr>
        <w:t>;</w:t>
      </w:r>
    </w:p>
    <w:p w:rsidR="00AA4D9D" w:rsidRDefault="00D702A5" w:rsidP="00D702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02A5">
        <w:rPr>
          <w:rFonts w:ascii="Times New Roman" w:hAnsi="Times New Roman"/>
          <w:bCs/>
          <w:i/>
          <w:sz w:val="28"/>
          <w:szCs w:val="28"/>
        </w:rPr>
        <w:t xml:space="preserve">Проверка </w:t>
      </w:r>
      <w:r w:rsidRPr="00D702A5">
        <w:rPr>
          <w:rFonts w:ascii="Times New Roman" w:eastAsia="Calibri" w:hAnsi="Times New Roman"/>
          <w:i/>
          <w:sz w:val="28"/>
          <w:szCs w:val="28"/>
        </w:rPr>
        <w:t xml:space="preserve">предоставления и использования субсидий, предоставленных из бюджета муниципального образования </w:t>
      </w:r>
      <w:proofErr w:type="spellStart"/>
      <w:r w:rsidRPr="00D702A5">
        <w:rPr>
          <w:rFonts w:ascii="Times New Roman" w:eastAsia="Calibri" w:hAnsi="Times New Roman"/>
          <w:i/>
          <w:sz w:val="28"/>
          <w:szCs w:val="28"/>
        </w:rPr>
        <w:t>Тосненский</w:t>
      </w:r>
      <w:proofErr w:type="spellEnd"/>
      <w:r w:rsidRPr="00D702A5">
        <w:rPr>
          <w:rFonts w:ascii="Times New Roman" w:eastAsia="Calibri" w:hAnsi="Times New Roman"/>
          <w:i/>
          <w:sz w:val="28"/>
          <w:szCs w:val="28"/>
        </w:rPr>
        <w:t xml:space="preserve"> район Ленинградской области автономному учреждени</w:t>
      </w:r>
      <w:r w:rsidRPr="00D702A5">
        <w:rPr>
          <w:rFonts w:ascii="Times New Roman" w:hAnsi="Times New Roman"/>
          <w:i/>
          <w:sz w:val="28"/>
          <w:szCs w:val="28"/>
        </w:rPr>
        <w:t>ю и их отражение в бухгалтерском учете и бухгалтерской отчетности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472F1" w:rsidRPr="002472F1" w:rsidRDefault="002472F1" w:rsidP="002472F1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Проверяемый период: 2022 год.</w:t>
      </w:r>
    </w:p>
    <w:p w:rsidR="00F715D8" w:rsidRDefault="009868DC" w:rsidP="0000183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</w:t>
      </w:r>
      <w:r w:rsidR="000A65B4">
        <w:rPr>
          <w:rFonts w:ascii="Times New Roman" w:hAnsi="Times New Roman"/>
          <w:sz w:val="28"/>
          <w:szCs w:val="28"/>
        </w:rPr>
        <w:t>ыдан по результатам 1 проверки, представления, предписания не выдавались.</w:t>
      </w:r>
    </w:p>
    <w:p w:rsidR="00D34BE4" w:rsidRPr="00FC1D85" w:rsidRDefault="0052684C" w:rsidP="00F90355">
      <w:pPr>
        <w:pStyle w:val="a5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D58F7" w:rsidRPr="004642D8">
        <w:rPr>
          <w:rFonts w:ascii="Times New Roman" w:hAnsi="Times New Roman"/>
          <w:color w:val="000000"/>
          <w:sz w:val="28"/>
          <w:szCs w:val="28"/>
        </w:rPr>
        <w:t xml:space="preserve">бъем проверенных средств за </w:t>
      </w:r>
      <w:r>
        <w:rPr>
          <w:rFonts w:ascii="Times New Roman" w:hAnsi="Times New Roman"/>
          <w:sz w:val="28"/>
          <w:szCs w:val="28"/>
        </w:rPr>
        <w:t xml:space="preserve">1 квартал 2023 года </w:t>
      </w:r>
      <w:r w:rsidR="003A2702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636D50">
        <w:rPr>
          <w:rFonts w:ascii="Times New Roman" w:hAnsi="Times New Roman"/>
          <w:color w:val="000000"/>
          <w:sz w:val="28"/>
          <w:szCs w:val="28"/>
        </w:rPr>
        <w:t>30 284,6</w:t>
      </w:r>
      <w:r w:rsidR="003A2702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8D58F7" w:rsidRPr="00DB50C9">
        <w:rPr>
          <w:rFonts w:ascii="Times New Roman" w:hAnsi="Times New Roman"/>
          <w:color w:val="000000"/>
          <w:sz w:val="28"/>
          <w:szCs w:val="28"/>
        </w:rPr>
        <w:t>руб</w:t>
      </w:r>
      <w:r w:rsidR="003B6E1A" w:rsidRPr="00DB50C9">
        <w:rPr>
          <w:rFonts w:ascii="Times New Roman" w:hAnsi="Times New Roman"/>
          <w:color w:val="000000"/>
          <w:sz w:val="28"/>
          <w:szCs w:val="28"/>
        </w:rPr>
        <w:t>.</w:t>
      </w:r>
      <w:r w:rsidR="008D58F7" w:rsidRPr="00C81D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1FD" w:rsidRPr="00FC1D85">
        <w:rPr>
          <w:rFonts w:ascii="Times New Roman" w:hAnsi="Times New Roman"/>
          <w:color w:val="000000"/>
          <w:sz w:val="28"/>
          <w:szCs w:val="28"/>
        </w:rPr>
        <w:t xml:space="preserve">Общий объем выявленных нарушений за </w:t>
      </w:r>
      <w:r w:rsidR="00EA01FD">
        <w:rPr>
          <w:rFonts w:ascii="Times New Roman" w:hAnsi="Times New Roman"/>
          <w:color w:val="000000"/>
          <w:sz w:val="28"/>
          <w:szCs w:val="28"/>
        </w:rPr>
        <w:t>отчетный период</w:t>
      </w:r>
      <w:r w:rsidR="00EA01FD" w:rsidRPr="00FC1D85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EA01F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868DC">
        <w:rPr>
          <w:rFonts w:ascii="Times New Roman" w:hAnsi="Times New Roman"/>
          <w:sz w:val="28"/>
          <w:szCs w:val="28"/>
        </w:rPr>
        <w:t>12 100,7</w:t>
      </w:r>
      <w:r w:rsidR="00D367E7">
        <w:rPr>
          <w:rFonts w:ascii="Times New Roman" w:hAnsi="Times New Roman"/>
          <w:sz w:val="28"/>
          <w:szCs w:val="28"/>
        </w:rPr>
        <w:t xml:space="preserve"> тыс.</w:t>
      </w:r>
      <w:r w:rsidR="00EA01FD">
        <w:rPr>
          <w:rFonts w:ascii="Times New Roman" w:hAnsi="Times New Roman"/>
          <w:sz w:val="28"/>
          <w:szCs w:val="28"/>
        </w:rPr>
        <w:t xml:space="preserve"> </w:t>
      </w:r>
      <w:r w:rsidR="00EA01FD" w:rsidRPr="00FC1D85">
        <w:rPr>
          <w:rFonts w:ascii="Times New Roman" w:hAnsi="Times New Roman"/>
          <w:sz w:val="28"/>
          <w:szCs w:val="28"/>
        </w:rPr>
        <w:t>руб.</w:t>
      </w:r>
    </w:p>
    <w:p w:rsidR="00CB7BED" w:rsidRPr="00FC1D85" w:rsidRDefault="00CB7BED" w:rsidP="0000183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D85">
        <w:rPr>
          <w:rFonts w:ascii="Times New Roman" w:hAnsi="Times New Roman"/>
          <w:color w:val="000000"/>
          <w:sz w:val="28"/>
          <w:szCs w:val="28"/>
        </w:rPr>
        <w:lastRenderedPageBreak/>
        <w:t>Объем средств</w:t>
      </w:r>
      <w:r w:rsidR="000A7AD3">
        <w:rPr>
          <w:rFonts w:ascii="Times New Roman" w:hAnsi="Times New Roman"/>
          <w:color w:val="000000"/>
          <w:sz w:val="28"/>
          <w:szCs w:val="28"/>
        </w:rPr>
        <w:t>,</w:t>
      </w:r>
      <w:r w:rsidRPr="00FC1D85">
        <w:rPr>
          <w:rFonts w:ascii="Times New Roman" w:hAnsi="Times New Roman"/>
          <w:color w:val="000000"/>
          <w:sz w:val="28"/>
          <w:szCs w:val="28"/>
        </w:rPr>
        <w:t xml:space="preserve"> подлежащих возмещению в бюджет </w:t>
      </w:r>
      <w:r w:rsidRPr="00FC1D85">
        <w:rPr>
          <w:rFonts w:ascii="Times New Roman" w:hAnsi="Times New Roman"/>
          <w:sz w:val="28"/>
          <w:szCs w:val="28"/>
        </w:rPr>
        <w:t>муниципального образования Тосненский район Ленинградской области</w:t>
      </w:r>
      <w:r w:rsidR="00B06EC7">
        <w:rPr>
          <w:rFonts w:ascii="Times New Roman" w:hAnsi="Times New Roman"/>
          <w:sz w:val="28"/>
          <w:szCs w:val="28"/>
        </w:rPr>
        <w:t>,</w:t>
      </w:r>
      <w:r w:rsidRPr="00FC1D85">
        <w:rPr>
          <w:rFonts w:ascii="Times New Roman" w:hAnsi="Times New Roman"/>
          <w:color w:val="000000"/>
          <w:sz w:val="28"/>
          <w:szCs w:val="28"/>
        </w:rPr>
        <w:t xml:space="preserve"> по выявленным нарушениям </w:t>
      </w:r>
      <w:r w:rsidR="00B06E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84B94">
        <w:rPr>
          <w:rFonts w:ascii="Times New Roman" w:hAnsi="Times New Roman"/>
          <w:sz w:val="28"/>
          <w:szCs w:val="28"/>
        </w:rPr>
        <w:t>1 квартал</w:t>
      </w:r>
      <w:r w:rsidR="005C7058">
        <w:rPr>
          <w:rFonts w:ascii="Times New Roman" w:hAnsi="Times New Roman"/>
          <w:sz w:val="28"/>
          <w:szCs w:val="28"/>
        </w:rPr>
        <w:t>е</w:t>
      </w:r>
      <w:r w:rsidR="00684B94">
        <w:rPr>
          <w:rFonts w:ascii="Times New Roman" w:hAnsi="Times New Roman"/>
          <w:sz w:val="28"/>
          <w:szCs w:val="28"/>
        </w:rPr>
        <w:t xml:space="preserve"> 2023 года</w:t>
      </w:r>
      <w:r w:rsidR="00684B94" w:rsidRPr="00FC1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D85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684B94">
        <w:rPr>
          <w:rFonts w:ascii="Times New Roman" w:hAnsi="Times New Roman"/>
          <w:color w:val="000000"/>
          <w:sz w:val="28"/>
          <w:szCs w:val="28"/>
        </w:rPr>
        <w:t>1 915,5</w:t>
      </w:r>
      <w:r w:rsidR="00D367E7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FC1D85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CB7BED" w:rsidRDefault="003114EC" w:rsidP="000018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87060">
        <w:rPr>
          <w:rFonts w:ascii="Times New Roman" w:hAnsi="Times New Roman"/>
          <w:color w:val="000000"/>
          <w:sz w:val="28"/>
          <w:szCs w:val="28"/>
        </w:rPr>
        <w:t>оступления денежных средств</w:t>
      </w:r>
      <w:r w:rsidR="00F67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7BED" w:rsidRPr="00351057">
        <w:rPr>
          <w:rFonts w:ascii="Times New Roman" w:hAnsi="Times New Roman"/>
          <w:sz w:val="28"/>
          <w:szCs w:val="28"/>
        </w:rPr>
        <w:t xml:space="preserve">в бюджет муниципального образования Тосненский район Ленинградской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C1D85">
        <w:rPr>
          <w:rFonts w:ascii="Times New Roman" w:hAnsi="Times New Roman"/>
          <w:color w:val="000000"/>
          <w:sz w:val="28"/>
          <w:szCs w:val="28"/>
        </w:rPr>
        <w:t>о результатам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6E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06EC7">
        <w:rPr>
          <w:rFonts w:ascii="Times New Roman" w:hAnsi="Times New Roman"/>
          <w:sz w:val="28"/>
          <w:szCs w:val="28"/>
        </w:rPr>
        <w:t>1 квартале 2023 года</w:t>
      </w:r>
      <w:r w:rsidR="00B06EC7" w:rsidRPr="00FC1D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060">
        <w:rPr>
          <w:rFonts w:ascii="Times New Roman" w:hAnsi="Times New Roman"/>
          <w:sz w:val="28"/>
          <w:szCs w:val="28"/>
        </w:rPr>
        <w:t xml:space="preserve">составили </w:t>
      </w:r>
      <w:r w:rsidR="00CB7BED" w:rsidRPr="00351057">
        <w:rPr>
          <w:rFonts w:ascii="Times New Roman" w:hAnsi="Times New Roman"/>
          <w:sz w:val="28"/>
          <w:szCs w:val="28"/>
        </w:rPr>
        <w:t xml:space="preserve"> </w:t>
      </w:r>
      <w:r w:rsidR="00B06EC7">
        <w:rPr>
          <w:rFonts w:ascii="Times New Roman" w:hAnsi="Times New Roman"/>
          <w:sz w:val="28"/>
          <w:szCs w:val="28"/>
        </w:rPr>
        <w:t>1 166,2</w:t>
      </w:r>
      <w:r w:rsidR="005B6E83">
        <w:rPr>
          <w:rFonts w:ascii="Times New Roman" w:hAnsi="Times New Roman"/>
          <w:sz w:val="28"/>
          <w:szCs w:val="28"/>
        </w:rPr>
        <w:t xml:space="preserve"> тыс.</w:t>
      </w:r>
      <w:r w:rsidR="00486BB6">
        <w:rPr>
          <w:rFonts w:ascii="Times New Roman" w:hAnsi="Times New Roman"/>
          <w:sz w:val="28"/>
          <w:szCs w:val="28"/>
        </w:rPr>
        <w:t xml:space="preserve"> </w:t>
      </w:r>
      <w:r w:rsidR="00CB7BED" w:rsidRPr="00351057">
        <w:rPr>
          <w:rFonts w:ascii="Times New Roman" w:hAnsi="Times New Roman"/>
          <w:sz w:val="28"/>
          <w:szCs w:val="28"/>
        </w:rPr>
        <w:t>руб</w:t>
      </w:r>
      <w:r w:rsidR="00F67DD9">
        <w:rPr>
          <w:rFonts w:ascii="Times New Roman" w:hAnsi="Times New Roman"/>
          <w:sz w:val="28"/>
          <w:szCs w:val="28"/>
        </w:rPr>
        <w:t>.</w:t>
      </w:r>
    </w:p>
    <w:p w:rsidR="00BA5570" w:rsidRPr="00E30FE7" w:rsidRDefault="00E30FE7" w:rsidP="00E3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0FE7">
        <w:rPr>
          <w:rFonts w:ascii="Times New Roman" w:hAnsi="Times New Roman"/>
          <w:color w:val="000000" w:themeColor="text1"/>
          <w:sz w:val="28"/>
          <w:szCs w:val="28"/>
        </w:rPr>
        <w:t>В ходе проверк</w:t>
      </w:r>
      <w:r w:rsidR="00F903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30FE7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осуществления расходов бюджета муниципального образования </w:t>
      </w:r>
      <w:proofErr w:type="spellStart"/>
      <w:r w:rsidRPr="00E30FE7">
        <w:rPr>
          <w:rFonts w:ascii="Times New Roman" w:hAnsi="Times New Roman"/>
          <w:color w:val="000000" w:themeColor="text1"/>
          <w:sz w:val="28"/>
          <w:szCs w:val="28"/>
        </w:rPr>
        <w:t>Тосненский</w:t>
      </w:r>
      <w:proofErr w:type="spellEnd"/>
      <w:r w:rsidRPr="00E30F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Ленинградской области на реализацию мероприятий муниципальной программы "Поддержка социально ориентированных некоммерческих организаций на территории муниципального образования </w:t>
      </w:r>
      <w:proofErr w:type="spellStart"/>
      <w:r w:rsidRPr="00E30FE7">
        <w:rPr>
          <w:rFonts w:ascii="Times New Roman" w:hAnsi="Times New Roman"/>
          <w:color w:val="000000" w:themeColor="text1"/>
          <w:sz w:val="28"/>
          <w:szCs w:val="28"/>
        </w:rPr>
        <w:t>Тосненский</w:t>
      </w:r>
      <w:proofErr w:type="spellEnd"/>
      <w:r w:rsidRPr="00E30FE7">
        <w:rPr>
          <w:rFonts w:ascii="Times New Roman" w:hAnsi="Times New Roman"/>
          <w:color w:val="000000" w:themeColor="text1"/>
          <w:sz w:val="28"/>
          <w:szCs w:val="28"/>
        </w:rPr>
        <w:t xml:space="preserve"> район Ленинградской области" и достоверности отчета о реализации муниципальной программы нарушения не установлены.</w:t>
      </w:r>
    </w:p>
    <w:p w:rsidR="00BA5570" w:rsidRDefault="00BA5570" w:rsidP="0000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5C7">
        <w:rPr>
          <w:rFonts w:ascii="Times New Roman" w:eastAsiaTheme="minorHAnsi" w:hAnsi="Times New Roman"/>
          <w:sz w:val="28"/>
          <w:szCs w:val="28"/>
          <w:lang w:eastAsia="en-US"/>
        </w:rPr>
        <w:t xml:space="preserve">В ходе </w:t>
      </w:r>
      <w:r w:rsidR="00C125C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C125C7" w:rsidRPr="00C125C7">
        <w:rPr>
          <w:rFonts w:ascii="Times New Roman" w:hAnsi="Times New Roman"/>
          <w:bCs/>
          <w:sz w:val="28"/>
          <w:szCs w:val="28"/>
        </w:rPr>
        <w:t>роверк</w:t>
      </w:r>
      <w:r w:rsidR="00F90355">
        <w:rPr>
          <w:rFonts w:ascii="Times New Roman" w:hAnsi="Times New Roman"/>
          <w:bCs/>
          <w:sz w:val="28"/>
          <w:szCs w:val="28"/>
        </w:rPr>
        <w:t>и</w:t>
      </w:r>
      <w:r w:rsidR="00C125C7" w:rsidRPr="00C125C7">
        <w:rPr>
          <w:rFonts w:ascii="Times New Roman" w:hAnsi="Times New Roman"/>
          <w:bCs/>
          <w:sz w:val="28"/>
          <w:szCs w:val="28"/>
        </w:rPr>
        <w:t xml:space="preserve"> </w:t>
      </w:r>
      <w:r w:rsidR="00C125C7" w:rsidRPr="00C125C7">
        <w:rPr>
          <w:rFonts w:ascii="Times New Roman" w:eastAsia="Calibri" w:hAnsi="Times New Roman"/>
          <w:sz w:val="28"/>
          <w:szCs w:val="28"/>
        </w:rPr>
        <w:t xml:space="preserve">предоставления и использования субсидий, предоставленных из бюджета муниципального образования </w:t>
      </w:r>
      <w:proofErr w:type="spellStart"/>
      <w:r w:rsidR="00C125C7" w:rsidRPr="00C125C7">
        <w:rPr>
          <w:rFonts w:ascii="Times New Roman" w:eastAsia="Calibri" w:hAnsi="Times New Roman"/>
          <w:sz w:val="28"/>
          <w:szCs w:val="28"/>
        </w:rPr>
        <w:t>Тосненский</w:t>
      </w:r>
      <w:proofErr w:type="spellEnd"/>
      <w:r w:rsidR="00C125C7" w:rsidRPr="00C125C7">
        <w:rPr>
          <w:rFonts w:ascii="Times New Roman" w:eastAsia="Calibri" w:hAnsi="Times New Roman"/>
          <w:sz w:val="28"/>
          <w:szCs w:val="28"/>
        </w:rPr>
        <w:t xml:space="preserve"> район Ленинградской области автономному учреждени</w:t>
      </w:r>
      <w:r w:rsidR="00C125C7" w:rsidRPr="00C125C7">
        <w:rPr>
          <w:rFonts w:ascii="Times New Roman" w:hAnsi="Times New Roman"/>
          <w:sz w:val="28"/>
          <w:szCs w:val="28"/>
        </w:rPr>
        <w:t>ю и их отражение в бухгалтерском учете и бухгалтерской отчетности</w:t>
      </w:r>
      <w:r w:rsidR="00C125C7">
        <w:rPr>
          <w:rFonts w:ascii="Times New Roman" w:hAnsi="Times New Roman"/>
          <w:sz w:val="28"/>
          <w:szCs w:val="28"/>
        </w:rPr>
        <w:t xml:space="preserve"> </w:t>
      </w:r>
      <w:r w:rsidR="00AC3756" w:rsidRPr="00C125C7">
        <w:rPr>
          <w:rFonts w:ascii="Times New Roman" w:eastAsiaTheme="minorHAnsi" w:hAnsi="Times New Roman"/>
          <w:sz w:val="28"/>
          <w:szCs w:val="28"/>
          <w:lang w:eastAsia="en-US"/>
        </w:rPr>
        <w:t>установлены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следующие нарушения</w:t>
      </w:r>
      <w:r w:rsidR="00424043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color w:val="000000" w:themeColor="text1"/>
          <w:sz w:val="28"/>
          <w:szCs w:val="28"/>
        </w:rPr>
        <w:t>- ст. 296, ст. 655 Гражданского кодекса Российской Федерации;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>- нарушение ст. 9, ст. 11 Федерального закона от 06.12.2011  № 402-ФЗ «О бухгалтерском учете»;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>- нарушение п. 3, п. 11, п. 151.1, п. 151.2, п.п. 308 - 331, п. 333  Инструкции, утвержденной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</w:t>
      </w:r>
      <w:r w:rsidRPr="00C125C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п. 9, п.п. 190 - 209 </w:t>
      </w:r>
      <w:r w:rsidRPr="00C125C7">
        <w:rPr>
          <w:rFonts w:ascii="Times New Roman" w:eastAsiaTheme="minorHAnsi" w:hAnsi="Times New Roman"/>
          <w:bCs/>
          <w:sz w:val="28"/>
          <w:szCs w:val="28"/>
        </w:rPr>
        <w:t>Инструкции по применению плана счетов бухгалтерского учета автономных учреждений, утвержденной приказом Минфина России от 23.12.2010 № 183н;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п. 20, </w:t>
      </w:r>
      <w:hyperlink r:id="rId8" w:history="1">
        <w:r w:rsidRPr="00C125C7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п. 23, п. 2</w:t>
        </w:r>
      </w:hyperlink>
      <w:r w:rsidRPr="00C125C7">
        <w:rPr>
          <w:rFonts w:ascii="Times New Roman" w:eastAsiaTheme="minorHAnsi" w:hAnsi="Times New Roman"/>
          <w:color w:val="000000" w:themeColor="text1"/>
          <w:sz w:val="28"/>
          <w:szCs w:val="28"/>
        </w:rPr>
        <w:t>9, п. 31, п. 79, п. 80</w:t>
      </w:r>
      <w:r w:rsidRPr="00C125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25C7">
        <w:rPr>
          <w:rFonts w:ascii="Times New Roman" w:hAnsi="Times New Roman"/>
          <w:sz w:val="28"/>
          <w:szCs w:val="28"/>
        </w:rPr>
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 № 256н;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</w:t>
      </w:r>
      <w:r w:rsidRPr="00C125C7">
        <w:rPr>
          <w:rFonts w:ascii="Times New Roman" w:eastAsiaTheme="minorHAnsi" w:hAnsi="Times New Roman"/>
          <w:bCs/>
          <w:sz w:val="28"/>
          <w:szCs w:val="28"/>
        </w:rPr>
        <w:t xml:space="preserve">приказа Минфина России от 30.03.2015 № 52н (с </w:t>
      </w:r>
      <w:proofErr w:type="spellStart"/>
      <w:r w:rsidRPr="00C125C7">
        <w:rPr>
          <w:rFonts w:ascii="Times New Roman" w:eastAsiaTheme="minorHAnsi" w:hAnsi="Times New Roman"/>
          <w:bCs/>
          <w:sz w:val="28"/>
          <w:szCs w:val="28"/>
        </w:rPr>
        <w:t>изм</w:t>
      </w:r>
      <w:proofErr w:type="spellEnd"/>
      <w:r w:rsidRPr="00C125C7">
        <w:rPr>
          <w:rFonts w:ascii="Times New Roman" w:eastAsiaTheme="minorHAnsi" w:hAnsi="Times New Roman"/>
          <w:bCs/>
          <w:sz w:val="28"/>
          <w:szCs w:val="28"/>
        </w:rPr>
        <w:t>.)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>- нарушение Постановления Госкомстата РФ от 11.11.1999 №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Инструкции о системах оплаты труда в муниципальных учреждениях муниципального образования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район Ленинградской </w:t>
      </w:r>
      <w:r w:rsidRPr="00C125C7">
        <w:rPr>
          <w:rFonts w:ascii="Times New Roman" w:hAnsi="Times New Roman"/>
          <w:sz w:val="28"/>
          <w:szCs w:val="28"/>
        </w:rPr>
        <w:lastRenderedPageBreak/>
        <w:t>области по видам экономической деятельности,</w:t>
      </w:r>
      <w:r w:rsidRPr="00C125C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125C7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муниципального образования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район Ленинградской области от 31.07.2020 № 1352-па;</w:t>
      </w:r>
    </w:p>
    <w:p w:rsidR="00E30FE7" w:rsidRPr="00C125C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>- нарушение ст. 91, 135 Трудового кодекса РФ;</w:t>
      </w:r>
    </w:p>
    <w:p w:rsidR="00E30FE7" w:rsidRDefault="00E30FE7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п. 1, п. 9, п. 32, п. 48, п. 56 </w:t>
      </w:r>
      <w:r w:rsidRPr="00C125C7">
        <w:rPr>
          <w:rFonts w:ascii="Times New Roman" w:hAnsi="Times New Roman"/>
          <w:color w:val="000000" w:themeColor="text1"/>
          <w:spacing w:val="1"/>
          <w:sz w:val="28"/>
          <w:szCs w:val="28"/>
        </w:rPr>
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</w:r>
      <w:r w:rsidR="00A50724">
        <w:rPr>
          <w:rFonts w:ascii="Times New Roman" w:hAnsi="Times New Roman"/>
          <w:color w:val="000000" w:themeColor="text1"/>
          <w:spacing w:val="1"/>
          <w:sz w:val="28"/>
          <w:szCs w:val="28"/>
        </w:rPr>
        <w:t>;</w:t>
      </w:r>
    </w:p>
    <w:p w:rsidR="00F90355" w:rsidRPr="00C125C7" w:rsidRDefault="00F90355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</w:t>
      </w:r>
      <w:r w:rsidRPr="00C125C7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п. 4 постановления администрации муниципального образования </w:t>
      </w:r>
      <w:proofErr w:type="spellStart"/>
      <w:r w:rsidRPr="00C125C7">
        <w:rPr>
          <w:rFonts w:ascii="Times New Roman" w:hAnsi="Times New Roman"/>
          <w:color w:val="000000" w:themeColor="text1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color w:val="000000" w:themeColor="text1"/>
          <w:sz w:val="28"/>
          <w:szCs w:val="28"/>
        </w:rPr>
        <w:t xml:space="preserve"> район Ленинградской области от 25.04.2018 № 1263-па «О порядке осуществления функций и полномочий учредителя муниципальных учреждений муниципального образования </w:t>
      </w:r>
      <w:proofErr w:type="spellStart"/>
      <w:r w:rsidRPr="00C125C7">
        <w:rPr>
          <w:rFonts w:ascii="Times New Roman" w:hAnsi="Times New Roman"/>
          <w:color w:val="000000" w:themeColor="text1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color w:val="000000" w:themeColor="text1"/>
          <w:sz w:val="28"/>
          <w:szCs w:val="28"/>
        </w:rPr>
        <w:t xml:space="preserve"> район Ленинградской области»;</w:t>
      </w:r>
    </w:p>
    <w:p w:rsidR="00F90355" w:rsidRDefault="00F90355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</w:t>
      </w:r>
      <w:r w:rsidRPr="00C125C7">
        <w:rPr>
          <w:rFonts w:ascii="Times New Roman" w:hAnsi="Times New Roman"/>
          <w:color w:val="000000" w:themeColor="text1"/>
          <w:sz w:val="28"/>
          <w:szCs w:val="28"/>
        </w:rPr>
        <w:t xml:space="preserve"> нарушение </w:t>
      </w:r>
      <w:r w:rsidRPr="00C125C7">
        <w:rPr>
          <w:rFonts w:ascii="Times New Roman" w:hAnsi="Times New Roman"/>
          <w:sz w:val="28"/>
          <w:szCs w:val="28"/>
        </w:rPr>
        <w:t xml:space="preserve">Положения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район Ленинградской области, муниципальных учреждений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городского поселений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финансового обеспечения выполнения муниципального задания», утвержденного Постановлением администрации муниципального образования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район Ленинградской области от 24.12.2021 № 3070-па;</w:t>
      </w:r>
    </w:p>
    <w:p w:rsidR="00A50724" w:rsidRPr="00C125C7" w:rsidRDefault="00A50724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color w:val="000000" w:themeColor="text1"/>
          <w:sz w:val="28"/>
          <w:szCs w:val="28"/>
        </w:rPr>
        <w:t>- нарушение</w:t>
      </w:r>
      <w:r w:rsidRPr="00C125C7">
        <w:rPr>
          <w:rFonts w:ascii="Times New Roman" w:hAnsi="Times New Roman"/>
          <w:sz w:val="28"/>
          <w:szCs w:val="28"/>
        </w:rPr>
        <w:t xml:space="preserve"> Муниципального задания </w:t>
      </w:r>
      <w:r w:rsidRPr="00C125C7">
        <w:rPr>
          <w:rFonts w:ascii="Times New Roman" w:eastAsia="Calibri" w:hAnsi="Times New Roman"/>
          <w:bCs/>
          <w:sz w:val="28"/>
          <w:szCs w:val="28"/>
        </w:rPr>
        <w:t xml:space="preserve">муниципальному автономному образовательному учреждению дополнительного образования "Центр информационных технологий" </w:t>
      </w:r>
      <w:r w:rsidRPr="00C125C7">
        <w:rPr>
          <w:rFonts w:ascii="Times New Roman" w:hAnsi="Times New Roman"/>
          <w:sz w:val="28"/>
          <w:szCs w:val="28"/>
        </w:rPr>
        <w:t xml:space="preserve">на 2022 год  и на плановый период 2023 и 2024 годов, утвержденного приказом комитета образования администрации муниципального образования </w:t>
      </w:r>
      <w:proofErr w:type="spellStart"/>
      <w:r w:rsidRPr="00C125C7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hAnsi="Times New Roman"/>
          <w:sz w:val="28"/>
          <w:szCs w:val="28"/>
        </w:rPr>
        <w:t xml:space="preserve"> район Ленинградской области от 27.12.2021 № 670/21;</w:t>
      </w:r>
    </w:p>
    <w:p w:rsidR="00F90355" w:rsidRPr="00C125C7" w:rsidRDefault="00F90355" w:rsidP="00F90355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125C7">
        <w:rPr>
          <w:rFonts w:ascii="Times New Roman" w:hAnsi="Times New Roman"/>
          <w:sz w:val="28"/>
          <w:szCs w:val="28"/>
        </w:rPr>
        <w:t xml:space="preserve">- нарушение </w:t>
      </w:r>
      <w:r w:rsidRPr="00C125C7">
        <w:rPr>
          <w:rFonts w:ascii="Times New Roman" w:eastAsiaTheme="minorHAnsi" w:hAnsi="Times New Roman"/>
          <w:sz w:val="28"/>
          <w:szCs w:val="28"/>
        </w:rPr>
        <w:t xml:space="preserve">п. 7.14. Положения об управлении и распоряжении муниципальным имуществом муниципального образования </w:t>
      </w:r>
      <w:proofErr w:type="spellStart"/>
      <w:r w:rsidRPr="00C125C7">
        <w:rPr>
          <w:rFonts w:ascii="Times New Roman" w:eastAsiaTheme="minorHAnsi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eastAsiaTheme="minorHAnsi" w:hAnsi="Times New Roman"/>
          <w:sz w:val="28"/>
          <w:szCs w:val="28"/>
        </w:rPr>
        <w:t xml:space="preserve"> район Ленинградской области, утвержденного решением совета депутатов муниципального образования </w:t>
      </w:r>
      <w:proofErr w:type="spellStart"/>
      <w:r w:rsidRPr="00C125C7">
        <w:rPr>
          <w:rFonts w:ascii="Times New Roman" w:eastAsiaTheme="minorHAnsi" w:hAnsi="Times New Roman"/>
          <w:sz w:val="28"/>
          <w:szCs w:val="28"/>
        </w:rPr>
        <w:t>Тосненский</w:t>
      </w:r>
      <w:proofErr w:type="spellEnd"/>
      <w:r w:rsidRPr="00C125C7">
        <w:rPr>
          <w:rFonts w:ascii="Times New Roman" w:eastAsiaTheme="minorHAnsi" w:hAnsi="Times New Roman"/>
          <w:sz w:val="28"/>
          <w:szCs w:val="28"/>
        </w:rPr>
        <w:t xml:space="preserve"> район Ленинградской области от 15.12.2015 № 72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527B5" w:rsidRDefault="00A527B5" w:rsidP="000018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Информация о результатах проведения контрольных мероприятий, проведенных комитетом финансов администрации муниципального образования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 Ленинградской области, размещена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 Ленинградской области</w:t>
      </w:r>
      <w:r w:rsidR="007B46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7B4614" w:rsidRPr="007B4614">
        <w:rPr>
          <w:rFonts w:ascii="Times New Roman" w:hAnsi="Times New Roman"/>
          <w:bCs/>
          <w:color w:val="000000" w:themeColor="text1"/>
          <w:sz w:val="28"/>
          <w:szCs w:val="28"/>
        </w:rPr>
        <w:t>https://tosno.online/</w:t>
      </w:r>
      <w:r w:rsidR="007B4614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885CEF" w:rsidRPr="00885CEF">
        <w:rPr>
          <w:rFonts w:ascii="Times New Roman" w:hAnsi="Times New Roman"/>
          <w:sz w:val="28"/>
          <w:szCs w:val="28"/>
        </w:rPr>
        <w:t>.</w:t>
      </w:r>
    </w:p>
    <w:p w:rsidR="007600EA" w:rsidRDefault="007600EA" w:rsidP="000018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489F" w:rsidRPr="00006BE2" w:rsidRDefault="0085332F" w:rsidP="0000183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5332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85332F">
        <w:rPr>
          <w:rFonts w:ascii="Times New Roman" w:hAnsi="Times New Roman"/>
          <w:sz w:val="28"/>
          <w:szCs w:val="28"/>
        </w:rPr>
        <w:t xml:space="preserve"> проведения аудиторских мероприятий комитета финансов администрации муниципального образования </w:t>
      </w:r>
      <w:proofErr w:type="spellStart"/>
      <w:r w:rsidRPr="0085332F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85332F">
        <w:rPr>
          <w:rFonts w:ascii="Times New Roman" w:hAnsi="Times New Roman"/>
          <w:sz w:val="28"/>
          <w:szCs w:val="28"/>
        </w:rPr>
        <w:t xml:space="preserve"> район Ленинградской области на 202</w:t>
      </w:r>
      <w:r w:rsidR="00C125C7">
        <w:rPr>
          <w:rFonts w:ascii="Times New Roman" w:hAnsi="Times New Roman"/>
          <w:sz w:val="28"/>
          <w:szCs w:val="28"/>
        </w:rPr>
        <w:t>3</w:t>
      </w:r>
      <w:r w:rsidRPr="0085332F">
        <w:rPr>
          <w:rFonts w:ascii="Times New Roman" w:hAnsi="Times New Roman"/>
          <w:sz w:val="28"/>
          <w:szCs w:val="28"/>
        </w:rPr>
        <w:t xml:space="preserve"> год, утвержденного приказом комитета финансов администрации муниципального образования </w:t>
      </w:r>
      <w:proofErr w:type="spellStart"/>
      <w:r w:rsidRPr="0085332F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85332F">
        <w:rPr>
          <w:rFonts w:ascii="Times New Roman" w:hAnsi="Times New Roman"/>
          <w:sz w:val="28"/>
          <w:szCs w:val="28"/>
        </w:rPr>
        <w:t xml:space="preserve"> район Ленинградской области от 2</w:t>
      </w:r>
      <w:r w:rsidR="00860B0D">
        <w:rPr>
          <w:rFonts w:ascii="Times New Roman" w:hAnsi="Times New Roman"/>
          <w:sz w:val="28"/>
          <w:szCs w:val="28"/>
        </w:rPr>
        <w:t>7</w:t>
      </w:r>
      <w:r w:rsidRPr="0085332F">
        <w:rPr>
          <w:rFonts w:ascii="Times New Roman" w:hAnsi="Times New Roman"/>
          <w:sz w:val="28"/>
          <w:szCs w:val="28"/>
        </w:rPr>
        <w:t>.12.202</w:t>
      </w:r>
      <w:r w:rsidR="00860B0D">
        <w:rPr>
          <w:rFonts w:ascii="Times New Roman" w:hAnsi="Times New Roman"/>
          <w:sz w:val="28"/>
          <w:szCs w:val="28"/>
        </w:rPr>
        <w:t>2</w:t>
      </w:r>
      <w:r w:rsidRPr="0085332F">
        <w:rPr>
          <w:rFonts w:ascii="Times New Roman" w:hAnsi="Times New Roman"/>
          <w:sz w:val="28"/>
          <w:szCs w:val="28"/>
        </w:rPr>
        <w:t xml:space="preserve"> № 1</w:t>
      </w:r>
      <w:r w:rsidR="00860B0D">
        <w:rPr>
          <w:rFonts w:ascii="Times New Roman" w:hAnsi="Times New Roman"/>
          <w:sz w:val="28"/>
          <w:szCs w:val="28"/>
        </w:rPr>
        <w:t>95</w:t>
      </w:r>
      <w:r w:rsidR="00006BE2">
        <w:rPr>
          <w:rFonts w:ascii="Times New Roman" w:hAnsi="Times New Roman"/>
          <w:sz w:val="28"/>
          <w:szCs w:val="28"/>
        </w:rPr>
        <w:t xml:space="preserve">, в комитете финансов проведено </w:t>
      </w:r>
      <w:r w:rsidR="00860B0D">
        <w:rPr>
          <w:rFonts w:ascii="Times New Roman" w:hAnsi="Times New Roman"/>
          <w:sz w:val="28"/>
          <w:szCs w:val="28"/>
        </w:rPr>
        <w:t>1</w:t>
      </w:r>
      <w:r w:rsidR="00006BE2">
        <w:rPr>
          <w:rFonts w:ascii="Times New Roman" w:hAnsi="Times New Roman"/>
          <w:sz w:val="28"/>
          <w:szCs w:val="28"/>
        </w:rPr>
        <w:t xml:space="preserve"> аудиторск</w:t>
      </w:r>
      <w:r w:rsidR="00860B0D">
        <w:rPr>
          <w:rFonts w:ascii="Times New Roman" w:hAnsi="Times New Roman"/>
          <w:sz w:val="28"/>
          <w:szCs w:val="28"/>
        </w:rPr>
        <w:t>ое</w:t>
      </w:r>
      <w:r w:rsidR="00006BE2">
        <w:rPr>
          <w:rFonts w:ascii="Times New Roman" w:hAnsi="Times New Roman"/>
          <w:sz w:val="28"/>
          <w:szCs w:val="28"/>
        </w:rPr>
        <w:t xml:space="preserve"> мероприяти</w:t>
      </w:r>
      <w:r w:rsidR="00860B0D">
        <w:rPr>
          <w:rFonts w:ascii="Times New Roman" w:hAnsi="Times New Roman"/>
          <w:sz w:val="28"/>
          <w:szCs w:val="28"/>
        </w:rPr>
        <w:t>е</w:t>
      </w:r>
      <w:r w:rsidR="00006BE2">
        <w:rPr>
          <w:rFonts w:ascii="Times New Roman" w:hAnsi="Times New Roman"/>
          <w:sz w:val="28"/>
          <w:szCs w:val="28"/>
        </w:rPr>
        <w:t xml:space="preserve"> по теме</w:t>
      </w:r>
      <w:r w:rsidR="00006BE2" w:rsidRPr="00006BE2">
        <w:rPr>
          <w:color w:val="000000"/>
          <w:sz w:val="28"/>
          <w:szCs w:val="28"/>
        </w:rPr>
        <w:t xml:space="preserve"> </w:t>
      </w:r>
      <w:r w:rsidR="00006BE2" w:rsidRPr="00006BE2">
        <w:rPr>
          <w:rFonts w:ascii="Times New Roman" w:hAnsi="Times New Roman"/>
          <w:color w:val="000000"/>
          <w:sz w:val="28"/>
          <w:szCs w:val="28"/>
        </w:rPr>
        <w:t>«</w:t>
      </w:r>
      <w:r w:rsidR="00B4750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Подтверждение</w:t>
      </w:r>
      <w:r w:rsidR="00006BE2" w:rsidRPr="00006B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</w:t>
      </w:r>
      <w:r w:rsidR="00006BE2" w:rsidRPr="00006BE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lastRenderedPageBreak/>
        <w:t xml:space="preserve">Федерации, </w:t>
      </w:r>
      <w:r w:rsidR="00006BE2" w:rsidRPr="00006B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 также ведомственным (внутренним) актам, принятым в соответствии с </w:t>
      </w:r>
      <w:hyperlink r:id="rId9" w:history="1">
        <w:r w:rsidR="00006BE2" w:rsidRPr="00006BE2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пунктом 5 статьи 264.1</w:t>
        </w:r>
      </w:hyperlink>
      <w:r w:rsidR="00006BE2" w:rsidRPr="00006B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Бюджетного кодекса Российской Федерации»</w:t>
      </w:r>
      <w:r w:rsidR="00B475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2022 год</w:t>
      </w:r>
      <w:r w:rsidR="00006BE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FF3E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018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Составлено </w:t>
      </w:r>
      <w:r w:rsidR="00B4750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0018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заключени</w:t>
      </w:r>
      <w:r w:rsidR="00A5072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="0000183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результатам внутреннего финансового аудита.</w:t>
      </w:r>
      <w:r w:rsidR="00F259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Нарушений и недостатков не установлено, вероятность бюджетных рисков низкая.</w:t>
      </w:r>
    </w:p>
    <w:p w:rsidR="004A489F" w:rsidRDefault="004A489F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0183A" w:rsidRDefault="0000183A" w:rsidP="00B72A1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A489F" w:rsidRPr="004A489F" w:rsidRDefault="00885CEF" w:rsidP="00A5072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Бурак Лариса Геннадьевна тел:</w:t>
      </w:r>
      <w:r w:rsidR="000E542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0E5428">
        <w:rPr>
          <w:rFonts w:ascii="Times New Roman" w:hAnsi="Times New Roman"/>
          <w:color w:val="000000" w:themeColor="text1"/>
          <w:sz w:val="20"/>
          <w:szCs w:val="20"/>
        </w:rPr>
        <w:t>81361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) </w:t>
      </w:r>
      <w:r w:rsidR="000E5428">
        <w:rPr>
          <w:rFonts w:ascii="Times New Roman" w:hAnsi="Times New Roman"/>
          <w:color w:val="000000" w:themeColor="text1"/>
          <w:sz w:val="20"/>
          <w:szCs w:val="20"/>
        </w:rPr>
        <w:t>33216</w:t>
      </w:r>
    </w:p>
    <w:sectPr w:rsidR="004A489F" w:rsidRPr="004A489F" w:rsidSect="0000183A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8D" w:rsidRDefault="004C248D" w:rsidP="005218DD">
      <w:pPr>
        <w:spacing w:after="0" w:line="240" w:lineRule="auto"/>
      </w:pPr>
      <w:r>
        <w:separator/>
      </w:r>
    </w:p>
  </w:endnote>
  <w:endnote w:type="continuationSeparator" w:id="0">
    <w:p w:rsidR="004C248D" w:rsidRDefault="004C248D" w:rsidP="005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8D" w:rsidRDefault="004C248D" w:rsidP="005218DD">
      <w:pPr>
        <w:spacing w:after="0" w:line="240" w:lineRule="auto"/>
      </w:pPr>
      <w:r>
        <w:separator/>
      </w:r>
    </w:p>
  </w:footnote>
  <w:footnote w:type="continuationSeparator" w:id="0">
    <w:p w:rsidR="004C248D" w:rsidRDefault="004C248D" w:rsidP="0052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A75CB"/>
    <w:multiLevelType w:val="hybridMultilevel"/>
    <w:tmpl w:val="9BF0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041E"/>
    <w:multiLevelType w:val="hybridMultilevel"/>
    <w:tmpl w:val="611AAD60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266C46"/>
    <w:multiLevelType w:val="hybridMultilevel"/>
    <w:tmpl w:val="26F2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10373"/>
    <w:multiLevelType w:val="hybridMultilevel"/>
    <w:tmpl w:val="E35CEECA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2D5C80"/>
    <w:multiLevelType w:val="hybridMultilevel"/>
    <w:tmpl w:val="7F5A3B86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221E5"/>
    <w:multiLevelType w:val="hybridMultilevel"/>
    <w:tmpl w:val="0DC22E2C"/>
    <w:lvl w:ilvl="0" w:tplc="0840C2E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65865"/>
    <w:multiLevelType w:val="hybridMultilevel"/>
    <w:tmpl w:val="CBFC1CC2"/>
    <w:lvl w:ilvl="0" w:tplc="0840C2E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A6695"/>
    <w:multiLevelType w:val="hybridMultilevel"/>
    <w:tmpl w:val="3B5CBC3C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881F2C"/>
    <w:multiLevelType w:val="hybridMultilevel"/>
    <w:tmpl w:val="468CE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233186"/>
    <w:multiLevelType w:val="hybridMultilevel"/>
    <w:tmpl w:val="3C70E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B66CB1"/>
    <w:multiLevelType w:val="hybridMultilevel"/>
    <w:tmpl w:val="3A16C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103EC1"/>
    <w:multiLevelType w:val="hybridMultilevel"/>
    <w:tmpl w:val="62F6DBC0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0777AC"/>
    <w:multiLevelType w:val="hybridMultilevel"/>
    <w:tmpl w:val="C6A68224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6D08274F"/>
    <w:multiLevelType w:val="hybridMultilevel"/>
    <w:tmpl w:val="5F9E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D4F86"/>
    <w:multiLevelType w:val="hybridMultilevel"/>
    <w:tmpl w:val="317A6D78"/>
    <w:lvl w:ilvl="0" w:tplc="0840C2E2">
      <w:start w:val="1"/>
      <w:numFmt w:val="bullet"/>
      <w:lvlText w:val="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772DBC"/>
    <w:rsid w:val="0000183A"/>
    <w:rsid w:val="0000661C"/>
    <w:rsid w:val="00006BE2"/>
    <w:rsid w:val="00013181"/>
    <w:rsid w:val="00014E8B"/>
    <w:rsid w:val="00017FCC"/>
    <w:rsid w:val="00020F38"/>
    <w:rsid w:val="00022843"/>
    <w:rsid w:val="00023071"/>
    <w:rsid w:val="000240C7"/>
    <w:rsid w:val="00033890"/>
    <w:rsid w:val="00040DB9"/>
    <w:rsid w:val="0004744B"/>
    <w:rsid w:val="0005054A"/>
    <w:rsid w:val="000821A6"/>
    <w:rsid w:val="00083518"/>
    <w:rsid w:val="0008586C"/>
    <w:rsid w:val="000858DC"/>
    <w:rsid w:val="0009037C"/>
    <w:rsid w:val="00091283"/>
    <w:rsid w:val="00091EAF"/>
    <w:rsid w:val="00096BDC"/>
    <w:rsid w:val="000A65B4"/>
    <w:rsid w:val="000A6EF3"/>
    <w:rsid w:val="000A7AD3"/>
    <w:rsid w:val="000C0741"/>
    <w:rsid w:val="000C186E"/>
    <w:rsid w:val="000C5C1A"/>
    <w:rsid w:val="000D1C5D"/>
    <w:rsid w:val="000D390A"/>
    <w:rsid w:val="000D4408"/>
    <w:rsid w:val="000E182E"/>
    <w:rsid w:val="000E5387"/>
    <w:rsid w:val="000E5428"/>
    <w:rsid w:val="000F3852"/>
    <w:rsid w:val="00103532"/>
    <w:rsid w:val="00112200"/>
    <w:rsid w:val="00112341"/>
    <w:rsid w:val="00115410"/>
    <w:rsid w:val="00115609"/>
    <w:rsid w:val="00115790"/>
    <w:rsid w:val="00116048"/>
    <w:rsid w:val="00117F8F"/>
    <w:rsid w:val="001201CB"/>
    <w:rsid w:val="001208D6"/>
    <w:rsid w:val="00120FF5"/>
    <w:rsid w:val="001229FF"/>
    <w:rsid w:val="001251C0"/>
    <w:rsid w:val="00127550"/>
    <w:rsid w:val="00137A4F"/>
    <w:rsid w:val="00144EBE"/>
    <w:rsid w:val="00151597"/>
    <w:rsid w:val="001540DD"/>
    <w:rsid w:val="001641E4"/>
    <w:rsid w:val="001734B5"/>
    <w:rsid w:val="0017735E"/>
    <w:rsid w:val="001778C2"/>
    <w:rsid w:val="00184521"/>
    <w:rsid w:val="001853C3"/>
    <w:rsid w:val="00190BB7"/>
    <w:rsid w:val="00197E7F"/>
    <w:rsid w:val="001A7CD4"/>
    <w:rsid w:val="001B1933"/>
    <w:rsid w:val="001C24E7"/>
    <w:rsid w:val="001C3970"/>
    <w:rsid w:val="001C7671"/>
    <w:rsid w:val="001C7960"/>
    <w:rsid w:val="001D4679"/>
    <w:rsid w:val="001D4BAE"/>
    <w:rsid w:val="001E4924"/>
    <w:rsid w:val="001F10A8"/>
    <w:rsid w:val="002046FA"/>
    <w:rsid w:val="00212075"/>
    <w:rsid w:val="00215354"/>
    <w:rsid w:val="00216712"/>
    <w:rsid w:val="00217341"/>
    <w:rsid w:val="00217970"/>
    <w:rsid w:val="00225531"/>
    <w:rsid w:val="00231E29"/>
    <w:rsid w:val="00232E59"/>
    <w:rsid w:val="00241AC3"/>
    <w:rsid w:val="00242E47"/>
    <w:rsid w:val="00244D73"/>
    <w:rsid w:val="0024528D"/>
    <w:rsid w:val="002472F1"/>
    <w:rsid w:val="00254496"/>
    <w:rsid w:val="002604F1"/>
    <w:rsid w:val="0026080E"/>
    <w:rsid w:val="0026412B"/>
    <w:rsid w:val="00264F16"/>
    <w:rsid w:val="00265337"/>
    <w:rsid w:val="00265D6F"/>
    <w:rsid w:val="0026699C"/>
    <w:rsid w:val="002674B4"/>
    <w:rsid w:val="002704AD"/>
    <w:rsid w:val="00272FAE"/>
    <w:rsid w:val="002775CF"/>
    <w:rsid w:val="0028053E"/>
    <w:rsid w:val="002821A8"/>
    <w:rsid w:val="0028312B"/>
    <w:rsid w:val="002862E5"/>
    <w:rsid w:val="00286AE4"/>
    <w:rsid w:val="00287060"/>
    <w:rsid w:val="00287FD2"/>
    <w:rsid w:val="002955CC"/>
    <w:rsid w:val="00297B0F"/>
    <w:rsid w:val="002A3635"/>
    <w:rsid w:val="002A4D23"/>
    <w:rsid w:val="002A5A1A"/>
    <w:rsid w:val="002A6565"/>
    <w:rsid w:val="002B0115"/>
    <w:rsid w:val="002B23C5"/>
    <w:rsid w:val="002C08E6"/>
    <w:rsid w:val="002C139A"/>
    <w:rsid w:val="002C270D"/>
    <w:rsid w:val="002C56B1"/>
    <w:rsid w:val="002C5DD7"/>
    <w:rsid w:val="002C7F47"/>
    <w:rsid w:val="002D10A8"/>
    <w:rsid w:val="002D2BB3"/>
    <w:rsid w:val="002D546A"/>
    <w:rsid w:val="002D7309"/>
    <w:rsid w:val="002E207A"/>
    <w:rsid w:val="002E544E"/>
    <w:rsid w:val="002E6240"/>
    <w:rsid w:val="002E6BD2"/>
    <w:rsid w:val="00305384"/>
    <w:rsid w:val="003059B8"/>
    <w:rsid w:val="003114EC"/>
    <w:rsid w:val="00313020"/>
    <w:rsid w:val="00315860"/>
    <w:rsid w:val="003170FE"/>
    <w:rsid w:val="003176F1"/>
    <w:rsid w:val="00323FB4"/>
    <w:rsid w:val="00327091"/>
    <w:rsid w:val="00330824"/>
    <w:rsid w:val="003341C1"/>
    <w:rsid w:val="003346A2"/>
    <w:rsid w:val="0033534F"/>
    <w:rsid w:val="003502FC"/>
    <w:rsid w:val="00351057"/>
    <w:rsid w:val="00352734"/>
    <w:rsid w:val="00361E42"/>
    <w:rsid w:val="00364FC8"/>
    <w:rsid w:val="00365383"/>
    <w:rsid w:val="00372E48"/>
    <w:rsid w:val="00374ACD"/>
    <w:rsid w:val="00374CFB"/>
    <w:rsid w:val="00383D38"/>
    <w:rsid w:val="00386B84"/>
    <w:rsid w:val="0039207F"/>
    <w:rsid w:val="003948A6"/>
    <w:rsid w:val="00397B6B"/>
    <w:rsid w:val="003A1312"/>
    <w:rsid w:val="003A24A0"/>
    <w:rsid w:val="003A2702"/>
    <w:rsid w:val="003B016C"/>
    <w:rsid w:val="003B6E1A"/>
    <w:rsid w:val="003C214D"/>
    <w:rsid w:val="003C26E8"/>
    <w:rsid w:val="003C7832"/>
    <w:rsid w:val="003D16D9"/>
    <w:rsid w:val="003D33AF"/>
    <w:rsid w:val="003D5C33"/>
    <w:rsid w:val="003E2105"/>
    <w:rsid w:val="003E2289"/>
    <w:rsid w:val="003E5795"/>
    <w:rsid w:val="003E7FBE"/>
    <w:rsid w:val="003F5F9C"/>
    <w:rsid w:val="00401BB9"/>
    <w:rsid w:val="00401F2C"/>
    <w:rsid w:val="00405379"/>
    <w:rsid w:val="00416E62"/>
    <w:rsid w:val="0042284E"/>
    <w:rsid w:val="00422F39"/>
    <w:rsid w:val="00424043"/>
    <w:rsid w:val="004257F2"/>
    <w:rsid w:val="00426919"/>
    <w:rsid w:val="00435D79"/>
    <w:rsid w:val="00440239"/>
    <w:rsid w:val="00441B5D"/>
    <w:rsid w:val="00442A51"/>
    <w:rsid w:val="0044357F"/>
    <w:rsid w:val="00444631"/>
    <w:rsid w:val="004500E8"/>
    <w:rsid w:val="00456C22"/>
    <w:rsid w:val="00461624"/>
    <w:rsid w:val="004642D8"/>
    <w:rsid w:val="004663C1"/>
    <w:rsid w:val="00473EF5"/>
    <w:rsid w:val="004763CC"/>
    <w:rsid w:val="00477353"/>
    <w:rsid w:val="00481E43"/>
    <w:rsid w:val="00485547"/>
    <w:rsid w:val="00486BB6"/>
    <w:rsid w:val="004904C6"/>
    <w:rsid w:val="00493107"/>
    <w:rsid w:val="004A10EF"/>
    <w:rsid w:val="004A1F06"/>
    <w:rsid w:val="004A489F"/>
    <w:rsid w:val="004A7A84"/>
    <w:rsid w:val="004B14C8"/>
    <w:rsid w:val="004B73D4"/>
    <w:rsid w:val="004C1D99"/>
    <w:rsid w:val="004C248D"/>
    <w:rsid w:val="004D16B3"/>
    <w:rsid w:val="004D2A9E"/>
    <w:rsid w:val="004E4F7C"/>
    <w:rsid w:val="004E5DAF"/>
    <w:rsid w:val="004E7138"/>
    <w:rsid w:val="004F0C51"/>
    <w:rsid w:val="004F5F42"/>
    <w:rsid w:val="00507E53"/>
    <w:rsid w:val="005218DD"/>
    <w:rsid w:val="0052684C"/>
    <w:rsid w:val="005277EE"/>
    <w:rsid w:val="00527EAE"/>
    <w:rsid w:val="00535173"/>
    <w:rsid w:val="005354D4"/>
    <w:rsid w:val="0053592A"/>
    <w:rsid w:val="005404E3"/>
    <w:rsid w:val="0054133D"/>
    <w:rsid w:val="00552913"/>
    <w:rsid w:val="00553983"/>
    <w:rsid w:val="00555A7A"/>
    <w:rsid w:val="005640A1"/>
    <w:rsid w:val="00570875"/>
    <w:rsid w:val="00572B58"/>
    <w:rsid w:val="005778E2"/>
    <w:rsid w:val="00583927"/>
    <w:rsid w:val="0058554A"/>
    <w:rsid w:val="0059365D"/>
    <w:rsid w:val="00593AFD"/>
    <w:rsid w:val="005A069E"/>
    <w:rsid w:val="005A66D9"/>
    <w:rsid w:val="005B0C9D"/>
    <w:rsid w:val="005B186D"/>
    <w:rsid w:val="005B297B"/>
    <w:rsid w:val="005B5A31"/>
    <w:rsid w:val="005B5AE5"/>
    <w:rsid w:val="005B603C"/>
    <w:rsid w:val="005B6E83"/>
    <w:rsid w:val="005C3E68"/>
    <w:rsid w:val="005C6267"/>
    <w:rsid w:val="005C7058"/>
    <w:rsid w:val="005D1BB9"/>
    <w:rsid w:val="005D4461"/>
    <w:rsid w:val="005E0268"/>
    <w:rsid w:val="005E71CF"/>
    <w:rsid w:val="005E7465"/>
    <w:rsid w:val="005E74DE"/>
    <w:rsid w:val="005F12DD"/>
    <w:rsid w:val="005F3FC8"/>
    <w:rsid w:val="006136E2"/>
    <w:rsid w:val="00621FD5"/>
    <w:rsid w:val="006236F2"/>
    <w:rsid w:val="0063059B"/>
    <w:rsid w:val="006329E3"/>
    <w:rsid w:val="0063651A"/>
    <w:rsid w:val="00636D50"/>
    <w:rsid w:val="006370BD"/>
    <w:rsid w:val="00644739"/>
    <w:rsid w:val="006558E4"/>
    <w:rsid w:val="00657BAF"/>
    <w:rsid w:val="00662221"/>
    <w:rsid w:val="006701B3"/>
    <w:rsid w:val="00674E4C"/>
    <w:rsid w:val="006754B4"/>
    <w:rsid w:val="006779DA"/>
    <w:rsid w:val="00682000"/>
    <w:rsid w:val="00684B94"/>
    <w:rsid w:val="00696DCE"/>
    <w:rsid w:val="006A0D5C"/>
    <w:rsid w:val="006A5274"/>
    <w:rsid w:val="006A5E7E"/>
    <w:rsid w:val="006B583D"/>
    <w:rsid w:val="006C0EDF"/>
    <w:rsid w:val="006C1AE5"/>
    <w:rsid w:val="006D0B2C"/>
    <w:rsid w:val="006D0C94"/>
    <w:rsid w:val="006D7472"/>
    <w:rsid w:val="006E2F7D"/>
    <w:rsid w:val="006F346B"/>
    <w:rsid w:val="006F362E"/>
    <w:rsid w:val="006F5A59"/>
    <w:rsid w:val="0070504A"/>
    <w:rsid w:val="00705E69"/>
    <w:rsid w:val="00706215"/>
    <w:rsid w:val="00707834"/>
    <w:rsid w:val="00717A41"/>
    <w:rsid w:val="00727790"/>
    <w:rsid w:val="00732B0D"/>
    <w:rsid w:val="0073314C"/>
    <w:rsid w:val="0075727C"/>
    <w:rsid w:val="007600EA"/>
    <w:rsid w:val="007620F8"/>
    <w:rsid w:val="007622F9"/>
    <w:rsid w:val="007658F1"/>
    <w:rsid w:val="00772DBC"/>
    <w:rsid w:val="00775988"/>
    <w:rsid w:val="00790D9A"/>
    <w:rsid w:val="00791706"/>
    <w:rsid w:val="00793B5F"/>
    <w:rsid w:val="007A1B9D"/>
    <w:rsid w:val="007A5B90"/>
    <w:rsid w:val="007B0781"/>
    <w:rsid w:val="007B1E6F"/>
    <w:rsid w:val="007B37D8"/>
    <w:rsid w:val="007B4614"/>
    <w:rsid w:val="007C2E85"/>
    <w:rsid w:val="007C7D4E"/>
    <w:rsid w:val="007D2DD7"/>
    <w:rsid w:val="007D556A"/>
    <w:rsid w:val="007F0218"/>
    <w:rsid w:val="007F43F9"/>
    <w:rsid w:val="00817AF4"/>
    <w:rsid w:val="00836AB6"/>
    <w:rsid w:val="0083704A"/>
    <w:rsid w:val="00847346"/>
    <w:rsid w:val="0085332F"/>
    <w:rsid w:val="00860B0D"/>
    <w:rsid w:val="00861A34"/>
    <w:rsid w:val="00862152"/>
    <w:rsid w:val="00863475"/>
    <w:rsid w:val="00885CEF"/>
    <w:rsid w:val="008A042F"/>
    <w:rsid w:val="008A6085"/>
    <w:rsid w:val="008A639A"/>
    <w:rsid w:val="008B1410"/>
    <w:rsid w:val="008B7B7B"/>
    <w:rsid w:val="008D329B"/>
    <w:rsid w:val="008D5488"/>
    <w:rsid w:val="008D58F7"/>
    <w:rsid w:val="008E31D1"/>
    <w:rsid w:val="008E501E"/>
    <w:rsid w:val="008E5C5A"/>
    <w:rsid w:val="008F07DB"/>
    <w:rsid w:val="008F0FD9"/>
    <w:rsid w:val="008F6E45"/>
    <w:rsid w:val="00900540"/>
    <w:rsid w:val="00904AA4"/>
    <w:rsid w:val="00917FD3"/>
    <w:rsid w:val="00917FFD"/>
    <w:rsid w:val="009224FB"/>
    <w:rsid w:val="009232C5"/>
    <w:rsid w:val="00924E02"/>
    <w:rsid w:val="009266D0"/>
    <w:rsid w:val="00927627"/>
    <w:rsid w:val="00931EC3"/>
    <w:rsid w:val="00951820"/>
    <w:rsid w:val="00953431"/>
    <w:rsid w:val="0095585F"/>
    <w:rsid w:val="00956A3C"/>
    <w:rsid w:val="00962120"/>
    <w:rsid w:val="009655D7"/>
    <w:rsid w:val="009860DC"/>
    <w:rsid w:val="009868DC"/>
    <w:rsid w:val="0099455A"/>
    <w:rsid w:val="009B36A1"/>
    <w:rsid w:val="009C52E4"/>
    <w:rsid w:val="009C6410"/>
    <w:rsid w:val="009D0CF4"/>
    <w:rsid w:val="009D1AC8"/>
    <w:rsid w:val="009E04A8"/>
    <w:rsid w:val="009E0969"/>
    <w:rsid w:val="009E1393"/>
    <w:rsid w:val="009E3FF2"/>
    <w:rsid w:val="009F0043"/>
    <w:rsid w:val="009F7815"/>
    <w:rsid w:val="00A01B35"/>
    <w:rsid w:val="00A02AF6"/>
    <w:rsid w:val="00A04C7D"/>
    <w:rsid w:val="00A04CC4"/>
    <w:rsid w:val="00A13683"/>
    <w:rsid w:val="00A231F9"/>
    <w:rsid w:val="00A24EFA"/>
    <w:rsid w:val="00A445D8"/>
    <w:rsid w:val="00A447C2"/>
    <w:rsid w:val="00A50724"/>
    <w:rsid w:val="00A50A0C"/>
    <w:rsid w:val="00A52727"/>
    <w:rsid w:val="00A527B5"/>
    <w:rsid w:val="00A60CBA"/>
    <w:rsid w:val="00A70842"/>
    <w:rsid w:val="00A77F81"/>
    <w:rsid w:val="00A808D1"/>
    <w:rsid w:val="00A8137A"/>
    <w:rsid w:val="00A81ED5"/>
    <w:rsid w:val="00A8222A"/>
    <w:rsid w:val="00A87563"/>
    <w:rsid w:val="00AA209D"/>
    <w:rsid w:val="00AA4D9D"/>
    <w:rsid w:val="00AB0BFF"/>
    <w:rsid w:val="00AB160B"/>
    <w:rsid w:val="00AB53CA"/>
    <w:rsid w:val="00AC3756"/>
    <w:rsid w:val="00AD30B0"/>
    <w:rsid w:val="00AD3954"/>
    <w:rsid w:val="00AD4D6B"/>
    <w:rsid w:val="00AD6410"/>
    <w:rsid w:val="00AE0727"/>
    <w:rsid w:val="00AE776C"/>
    <w:rsid w:val="00AF2E15"/>
    <w:rsid w:val="00B022E0"/>
    <w:rsid w:val="00B04561"/>
    <w:rsid w:val="00B06EC7"/>
    <w:rsid w:val="00B07010"/>
    <w:rsid w:val="00B11570"/>
    <w:rsid w:val="00B1195D"/>
    <w:rsid w:val="00B14125"/>
    <w:rsid w:val="00B1738E"/>
    <w:rsid w:val="00B24B97"/>
    <w:rsid w:val="00B30CF7"/>
    <w:rsid w:val="00B41D33"/>
    <w:rsid w:val="00B41F68"/>
    <w:rsid w:val="00B442B4"/>
    <w:rsid w:val="00B45407"/>
    <w:rsid w:val="00B4750E"/>
    <w:rsid w:val="00B510F3"/>
    <w:rsid w:val="00B5469E"/>
    <w:rsid w:val="00B56F29"/>
    <w:rsid w:val="00B72A13"/>
    <w:rsid w:val="00B738AE"/>
    <w:rsid w:val="00B74BED"/>
    <w:rsid w:val="00B74DA3"/>
    <w:rsid w:val="00B77557"/>
    <w:rsid w:val="00B80B97"/>
    <w:rsid w:val="00B81762"/>
    <w:rsid w:val="00B817B1"/>
    <w:rsid w:val="00B91ACB"/>
    <w:rsid w:val="00B945F5"/>
    <w:rsid w:val="00B95B25"/>
    <w:rsid w:val="00BA5570"/>
    <w:rsid w:val="00BB21C0"/>
    <w:rsid w:val="00BB2463"/>
    <w:rsid w:val="00BC117F"/>
    <w:rsid w:val="00BC5DC5"/>
    <w:rsid w:val="00BC7418"/>
    <w:rsid w:val="00BE4BC2"/>
    <w:rsid w:val="00C02BAA"/>
    <w:rsid w:val="00C044F0"/>
    <w:rsid w:val="00C07E3F"/>
    <w:rsid w:val="00C11F51"/>
    <w:rsid w:val="00C12159"/>
    <w:rsid w:val="00C125C7"/>
    <w:rsid w:val="00C22694"/>
    <w:rsid w:val="00C22901"/>
    <w:rsid w:val="00C24125"/>
    <w:rsid w:val="00C245E8"/>
    <w:rsid w:val="00C25436"/>
    <w:rsid w:val="00C43166"/>
    <w:rsid w:val="00C462C0"/>
    <w:rsid w:val="00C55228"/>
    <w:rsid w:val="00C57C3C"/>
    <w:rsid w:val="00C76581"/>
    <w:rsid w:val="00C76639"/>
    <w:rsid w:val="00C81D57"/>
    <w:rsid w:val="00C83923"/>
    <w:rsid w:val="00C92EE1"/>
    <w:rsid w:val="00C934DB"/>
    <w:rsid w:val="00C94512"/>
    <w:rsid w:val="00C9469C"/>
    <w:rsid w:val="00CA58D1"/>
    <w:rsid w:val="00CA602B"/>
    <w:rsid w:val="00CB7BED"/>
    <w:rsid w:val="00CD1E07"/>
    <w:rsid w:val="00CD418E"/>
    <w:rsid w:val="00CD5648"/>
    <w:rsid w:val="00CE09E2"/>
    <w:rsid w:val="00CF1F34"/>
    <w:rsid w:val="00CF45FE"/>
    <w:rsid w:val="00CF6561"/>
    <w:rsid w:val="00D04E34"/>
    <w:rsid w:val="00D138E2"/>
    <w:rsid w:val="00D1765B"/>
    <w:rsid w:val="00D2288E"/>
    <w:rsid w:val="00D32E77"/>
    <w:rsid w:val="00D32ED7"/>
    <w:rsid w:val="00D34BE4"/>
    <w:rsid w:val="00D35D19"/>
    <w:rsid w:val="00D367E7"/>
    <w:rsid w:val="00D369AD"/>
    <w:rsid w:val="00D37207"/>
    <w:rsid w:val="00D37A45"/>
    <w:rsid w:val="00D40BD6"/>
    <w:rsid w:val="00D51A15"/>
    <w:rsid w:val="00D5204C"/>
    <w:rsid w:val="00D52182"/>
    <w:rsid w:val="00D57455"/>
    <w:rsid w:val="00D62500"/>
    <w:rsid w:val="00D66889"/>
    <w:rsid w:val="00D66D7D"/>
    <w:rsid w:val="00D702A5"/>
    <w:rsid w:val="00D77303"/>
    <w:rsid w:val="00D84251"/>
    <w:rsid w:val="00DA2148"/>
    <w:rsid w:val="00DA2813"/>
    <w:rsid w:val="00DA2D64"/>
    <w:rsid w:val="00DA755E"/>
    <w:rsid w:val="00DB1DC6"/>
    <w:rsid w:val="00DB386E"/>
    <w:rsid w:val="00DB50C9"/>
    <w:rsid w:val="00DC0BED"/>
    <w:rsid w:val="00DC1665"/>
    <w:rsid w:val="00DD159E"/>
    <w:rsid w:val="00DD3A1C"/>
    <w:rsid w:val="00DD442B"/>
    <w:rsid w:val="00DD7A2D"/>
    <w:rsid w:val="00DE0CB1"/>
    <w:rsid w:val="00DE114D"/>
    <w:rsid w:val="00DE17C8"/>
    <w:rsid w:val="00DE4018"/>
    <w:rsid w:val="00DF2BCE"/>
    <w:rsid w:val="00DF6BC7"/>
    <w:rsid w:val="00DF749B"/>
    <w:rsid w:val="00E00498"/>
    <w:rsid w:val="00E021FF"/>
    <w:rsid w:val="00E131D0"/>
    <w:rsid w:val="00E13D8E"/>
    <w:rsid w:val="00E161D6"/>
    <w:rsid w:val="00E178B5"/>
    <w:rsid w:val="00E2075D"/>
    <w:rsid w:val="00E30FE7"/>
    <w:rsid w:val="00E338F1"/>
    <w:rsid w:val="00E3544C"/>
    <w:rsid w:val="00E37087"/>
    <w:rsid w:val="00E3725D"/>
    <w:rsid w:val="00E4352B"/>
    <w:rsid w:val="00E43B97"/>
    <w:rsid w:val="00E44D56"/>
    <w:rsid w:val="00E4558F"/>
    <w:rsid w:val="00E566B3"/>
    <w:rsid w:val="00E579CA"/>
    <w:rsid w:val="00E651EF"/>
    <w:rsid w:val="00E718FF"/>
    <w:rsid w:val="00E7212C"/>
    <w:rsid w:val="00E72BF6"/>
    <w:rsid w:val="00E72F25"/>
    <w:rsid w:val="00E75DA9"/>
    <w:rsid w:val="00E77466"/>
    <w:rsid w:val="00E82D65"/>
    <w:rsid w:val="00E84F60"/>
    <w:rsid w:val="00E96A73"/>
    <w:rsid w:val="00E97B33"/>
    <w:rsid w:val="00EA01FD"/>
    <w:rsid w:val="00EA1323"/>
    <w:rsid w:val="00EA762C"/>
    <w:rsid w:val="00EA7B82"/>
    <w:rsid w:val="00EB26DF"/>
    <w:rsid w:val="00EB6CD1"/>
    <w:rsid w:val="00EC036C"/>
    <w:rsid w:val="00EC338C"/>
    <w:rsid w:val="00EC3D5A"/>
    <w:rsid w:val="00EC5441"/>
    <w:rsid w:val="00EC5FBF"/>
    <w:rsid w:val="00ED03E2"/>
    <w:rsid w:val="00ED1140"/>
    <w:rsid w:val="00ED3EBD"/>
    <w:rsid w:val="00EE761B"/>
    <w:rsid w:val="00EF35E6"/>
    <w:rsid w:val="00F0123E"/>
    <w:rsid w:val="00F06D85"/>
    <w:rsid w:val="00F13C81"/>
    <w:rsid w:val="00F25923"/>
    <w:rsid w:val="00F25A33"/>
    <w:rsid w:val="00F31E4A"/>
    <w:rsid w:val="00F35B24"/>
    <w:rsid w:val="00F443D6"/>
    <w:rsid w:val="00F44DEC"/>
    <w:rsid w:val="00F4558C"/>
    <w:rsid w:val="00F53D39"/>
    <w:rsid w:val="00F54730"/>
    <w:rsid w:val="00F56EC9"/>
    <w:rsid w:val="00F63738"/>
    <w:rsid w:val="00F67DD9"/>
    <w:rsid w:val="00F715D8"/>
    <w:rsid w:val="00F71B71"/>
    <w:rsid w:val="00F73D1D"/>
    <w:rsid w:val="00F73FD5"/>
    <w:rsid w:val="00F852CE"/>
    <w:rsid w:val="00F856EC"/>
    <w:rsid w:val="00F86F8D"/>
    <w:rsid w:val="00F90355"/>
    <w:rsid w:val="00F94231"/>
    <w:rsid w:val="00FA018C"/>
    <w:rsid w:val="00FA0910"/>
    <w:rsid w:val="00FB234F"/>
    <w:rsid w:val="00FB4CEA"/>
    <w:rsid w:val="00FC1D85"/>
    <w:rsid w:val="00FC2A60"/>
    <w:rsid w:val="00FC3512"/>
    <w:rsid w:val="00FE2FB8"/>
    <w:rsid w:val="00FF045D"/>
    <w:rsid w:val="00FF2AA7"/>
    <w:rsid w:val="00FF3EE8"/>
    <w:rsid w:val="00FF4568"/>
    <w:rsid w:val="00FF7D55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A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C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12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50A0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8D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8DD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040DB9"/>
    <w:pPr>
      <w:spacing w:after="0" w:line="240" w:lineRule="auto"/>
      <w:jc w:val="both"/>
    </w:pPr>
    <w:rPr>
      <w:rFonts w:ascii="Verdana" w:eastAsiaTheme="minorEastAsia" w:hAnsi="Verdana"/>
      <w:sz w:val="20"/>
      <w:lang w:val="en-US" w:bidi="en-US"/>
    </w:rPr>
  </w:style>
  <w:style w:type="paragraph" w:customStyle="1" w:styleId="ConsPlusNonformat">
    <w:name w:val="ConsPlusNonformat"/>
    <w:uiPriority w:val="99"/>
    <w:rsid w:val="00527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B05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F604DE9926F2E98096EF851D4C16D765091D4ACD4E8ADDE6C74C6718094AC0A4C9889623F69E51B51A52C52AF8ADIDk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8FB5614E16114D01615821A21AF57AADF146E5835BF602D60D5645F3FD93F45939BB7D269OF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84BF-0B8B-49B0-BB71-94A7C855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Natali_N</dc:creator>
  <cp:lastModifiedBy>Лариса Геннадьевна Бурак</cp:lastModifiedBy>
  <cp:revision>16</cp:revision>
  <cp:lastPrinted>2023-04-07T06:44:00Z</cp:lastPrinted>
  <dcterms:created xsi:type="dcterms:W3CDTF">2022-04-05T05:36:00Z</dcterms:created>
  <dcterms:modified xsi:type="dcterms:W3CDTF">2023-04-07T06:45:00Z</dcterms:modified>
</cp:coreProperties>
</file>