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1CE" w:rsidRDefault="00123EED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BCE8C2">
                <wp:simplePos x="0" y="0"/>
                <wp:positionH relativeFrom="column">
                  <wp:posOffset>-1213056</wp:posOffset>
                </wp:positionH>
                <wp:positionV relativeFrom="page">
                  <wp:posOffset>212690</wp:posOffset>
                </wp:positionV>
                <wp:extent cx="7543800" cy="303276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-95.5pt;margin-top:16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sHO4Vm8EAAC2CwAADgAAAAAAAAAA&#10;AAAAAAA6AgAAZHJzL2Uyb0RvYy54bWxQSwECLQAUAAYACAAAACEAqiYOvrwAAAAhAQAAGQAAAAAA&#10;AAAAAAAAAADVBgAAZHJzL19yZWxzL2Uyb0RvYy54bWwucmVsc1BLAQItABQABgAIAAAAIQDX20+Y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z3DCAAAA2wAAAA8AAABkcnMvZG93bnJldi54bWxET01rwkAQvRf6H5Yp9FLqxoJGoquUlopC&#10;D5p68DhkxySYnY2ZVeO/dwuF3ubxPme26F2jLtRJ7dnAcJCAIi68rbk0sPv5ep2AkoBssfFMBm4k&#10;sJg/Pswws/7KW7rkoVQxhCVDA1UIbaa1FBU5lIFviSN38J3DEGFXatvhNYa7Rr8lyVg7rDk2VNjS&#10;R0XFMT87A7J/WeF6+d2nfiQb/3lKdzJJjXl+6t+noAL14V/8517ZOH8Mv7/EA/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n89wwgAAANsAAAAPAAAAAAAAAAAAAAAAAJ8C&#10;AABkcnMvZG93bnJldi54bWxQSwUGAAAAAAQABAD3AAAAjgMAAAAA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1F4C13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27.06.2023                                2293-па</w:t>
      </w: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осуществления 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в объекты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Тосненского </w:t>
      </w: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  <w:proofErr w:type="gramStart"/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EC0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</w:t>
      </w: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которых осуществляется полностью </w:t>
      </w:r>
      <w:r w:rsid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07735" w:rsidRP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за счет средств бюджета муниципального образования </w:t>
      </w:r>
    </w:p>
    <w:p w:rsidR="00607735" w:rsidRP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и бюджета Тосненского 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района Ленинградской области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CE" w:rsidRDefault="006751CE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35" w:rsidRDefault="00607735" w:rsidP="00675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79 Бюджетного кодекса Российской Федерации, рук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водствуясь ст. 14 Федерального закона от 25.02.1999 № 39-ФЗ «Об инвестиционной деятельности в Российской Федерации, осуществляемой в форме капитальных вложений», ст. 15 Федерального закона от 06.10.2003 № 131-ФЗ «Об общих при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Уставом муниципального образования Тосненский </w:t>
      </w:r>
      <w:r w:rsidR="00D41EC0"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Ленинградской области, </w:t>
      </w:r>
      <w:r w:rsidR="00D41EC0"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упорядочивания и оптимизации взаимодействия структурных по</w:t>
      </w:r>
      <w:r w:rsidR="00D41EC0"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1EC0"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</w:t>
      </w:r>
      <w:proofErr w:type="gramEnd"/>
      <w:r w:rsidR="00D41EC0"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1E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D41EC0" w:rsidRDefault="00D41EC0" w:rsidP="00D4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C0" w:rsidRDefault="00D41EC0" w:rsidP="00D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07735" w:rsidRDefault="00607735" w:rsidP="0060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C0" w:rsidRPr="005B2D83" w:rsidRDefault="00602AA1" w:rsidP="006751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осуществления бюджетных инвестиций в объекты муниципальной собственности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финансирование которых осуществляется полн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 или частично за счет средств бюджета муниципального образования Тосне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и бюджета Тосненского городского поселения Тосненского района Ленинградской области, утвержденное 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</w:t>
      </w:r>
      <w:proofErr w:type="gramEnd"/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10.03.2017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439-па (с учетом изменений, внесенных постановлениями админ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от 27.08.2019 № 1443-па, от 04.03.2021 № 424-па)</w:t>
      </w:r>
      <w:r w:rsidR="00FE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D41EC0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F42" w:rsidRDefault="00B967A1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«</w:t>
      </w:r>
      <w:bookmarkStart w:id="1" w:name="_Hlk1382405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осуществления бюджетных инв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 в объекты муниципальной собственности муниципального образования 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и Тосненского городского поселения 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финансирование которых осуществляе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полностью или частично за счет средств бюджета муниципального образования Тосненский район Ленинградской области и бюджета Тосненского городского п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Тосненского района Ленинградской области</w:t>
      </w:r>
      <w:bookmarkEnd w:id="1"/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дакции:</w:t>
      </w:r>
      <w:proofErr w:type="gramEnd"/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2" w:name="_Hlk138240814"/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осуществления бюджетных инвестиций в объекты муниципальной собственности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финансирование которых осуществляется полностью или частично за счет средств бюджета муниципального образования Тосненский</w:t>
      </w:r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и бюджета Тосненского городского пос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</w:t>
      </w:r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90296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bookmarkEnd w:id="2"/>
      <w:r w:rsidR="00E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90296" w:rsidRDefault="00E90296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тексту Положения о 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осуществления бюджетных инв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 в объекты муниципальной собственности муниципального образования 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и Тосненского городского поселения 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финансирование которых осуществляе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полностью или частично за счет средств бюджета муниципального образования Тосненский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и бюджета Тосненского городского поселения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E25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«бюджет муниципального образования Тосненский район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бюджет Тосненского городского поселения Тосненского района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области» заменить словами «бюджет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и бюджет Тосненского городского поселения 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осненского муниципального района Ленинградской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сти». </w:t>
      </w:r>
    </w:p>
    <w:p w:rsidR="00D41EC0" w:rsidRDefault="00C27470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4 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</w:t>
      </w:r>
      <w:bookmarkStart w:id="3" w:name="_Hlk134780647"/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«Общие положения»</w:t>
      </w:r>
      <w:bookmarkEnd w:id="3"/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38240554"/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bookmarkEnd w:id="4"/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«капитальные вложения – 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объекты муниц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собственности, 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затраты на новое строительство, реконстру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техническое перевооружение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муниц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машин, оборудования, инструмента, инве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таря, 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проектно-изыскательские работ</w:t>
      </w:r>
      <w:r w:rsidR="00ED6B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затраты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недвижимого имущества в муниципальную собственность муниципального образования Тосненский район Ленинградской</w:t>
      </w:r>
      <w:proofErr w:type="gramEnd"/>
      <w:r w:rsidR="00312CF7"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Тосненского городского поселения Тосненского муниципального района Ленинградской области</w:t>
      </w:r>
      <w:proofErr w:type="gramStart"/>
      <w:r w:rsidR="009F7F63"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83" w:rsidRPr="00156283" w:rsidRDefault="00156283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Пункт 1.8.1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«Общие положения»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следующей реда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ции: «</w:t>
      </w:r>
      <w:r w:rsidR="00D766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1.8.1. </w:t>
      </w:r>
      <w:r w:rsidR="006751C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утем заключения и исполнения муниципальных контрактов, предм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тами которых являются выполнение работ, оказание услуг, связанных с проектно-изыскательскими работами, строительством, реконструкци</w:t>
      </w:r>
      <w:r w:rsidR="00D76684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й, в том числе с эл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ментами реставрации, техническим перевооружением объектов, или приобретение объектов капитального строительства».</w:t>
      </w:r>
    </w:p>
    <w:p w:rsidR="009F7F63" w:rsidRDefault="00D00A35" w:rsidP="006751CE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 р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2 «Порядок принятия решений о подготовке и реализ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бюджетных инвестиций, разработка инвестиционного проекта» изложить в следующей редакции:</w:t>
      </w:r>
    </w:p>
    <w:p w:rsidR="009F7F63" w:rsidRPr="009F7F63" w:rsidRDefault="009F7F63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до 1 марта текущего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готовит информацию о целе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сообразности осуществления бюджетных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проблемы, для реше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которой целесообразно осуществление капита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вложений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муници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</w:t>
      </w:r>
      <w:r w:rsidR="00D76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</w:t>
      </w:r>
      <w:r w:rsidR="00DD6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главе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F63" w:rsidRPr="009F7F63" w:rsidRDefault="009F7F63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возможности начала подготовки бюджетных инвестиций по пре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ложениям, представленным с нарушением срока, указанного в абзаце 1 </w:t>
      </w:r>
      <w:r w:rsidR="00D464BD"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64BD"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глава администрации.</w:t>
      </w:r>
    </w:p>
    <w:p w:rsidR="009F7F63" w:rsidRPr="009F7F63" w:rsidRDefault="009F7F63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E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 назначает Исполнителя из числа стру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подразделений или отраслевых 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 соответствующему структурному подразделен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(органу) определить предвар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потребности в финансовых ресурсах для осуществления бюджетных инв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стиций, в том числе подготовить расчет стоимости инвестиционного проекта.</w:t>
      </w:r>
    </w:p>
    <w:p w:rsidR="009F7F63" w:rsidRDefault="009F7F63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осуществить расчет предполагаемо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или предельной стоимости инве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 Исполнителем не 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возможным, он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осу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закупки, необходимой для определения стоимости инвест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проекта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 w:rsid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нужд».</w:t>
      </w:r>
      <w:proofErr w:type="gramEnd"/>
    </w:p>
    <w:p w:rsidR="00312CF7" w:rsidRPr="009F7F63" w:rsidRDefault="00312CF7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разрабатывает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технико-экономическое обоснование</w:t>
      </w:r>
      <w:r w:rsidR="007F1439" w:rsidRPr="007F1439">
        <w:t xml:space="preserve"> </w:t>
      </w:r>
      <w:r w:rsidR="007F1439" w:rsidRPr="007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документ, обосновывающий необходимость капитальных вложений</w:t>
      </w:r>
      <w:r w:rsidR="007F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58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стиционный проект, который состоит из следующих разделов:</w:t>
      </w:r>
    </w:p>
    <w:p w:rsidR="009F7F63" w:rsidRPr="009F7F63" w:rsidRDefault="00D76684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F7F63" w:rsidRPr="009F7F63">
        <w:rPr>
          <w:rFonts w:ascii="Times New Roman" w:hAnsi="Times New Roman" w:cs="Times New Roman"/>
          <w:sz w:val="24"/>
        </w:rPr>
        <w:t>паспорт инвестиционного проекта – по форме согласно приложению 1 к настоящему Положению;</w:t>
      </w:r>
    </w:p>
    <w:p w:rsidR="009F7F63" w:rsidRDefault="00D76684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F7F63" w:rsidRPr="00204130">
        <w:rPr>
          <w:rFonts w:ascii="Times New Roman" w:hAnsi="Times New Roman" w:cs="Times New Roman"/>
          <w:sz w:val="24"/>
        </w:rPr>
        <w:t>финансирование инвестиционного проекта – по форме согласно прилож</w:t>
      </w:r>
      <w:r w:rsidR="009F7F63" w:rsidRPr="00204130">
        <w:rPr>
          <w:rFonts w:ascii="Times New Roman" w:hAnsi="Times New Roman" w:cs="Times New Roman"/>
          <w:sz w:val="24"/>
        </w:rPr>
        <w:t>е</w:t>
      </w:r>
      <w:r w:rsidR="009F7F63" w:rsidRPr="00204130">
        <w:rPr>
          <w:rFonts w:ascii="Times New Roman" w:hAnsi="Times New Roman" w:cs="Times New Roman"/>
          <w:sz w:val="24"/>
        </w:rPr>
        <w:t>нию 2 к настоящему Положению;</w:t>
      </w:r>
    </w:p>
    <w:p w:rsidR="009F7F63" w:rsidRPr="00204130" w:rsidRDefault="00D76684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F7F63">
        <w:rPr>
          <w:rFonts w:ascii="Times New Roman" w:hAnsi="Times New Roman" w:cs="Times New Roman"/>
          <w:sz w:val="24"/>
        </w:rPr>
        <w:t>план-график инвестиционного проекта на период его реализации, по форме согласно приложению 3 к настоящему Положению, а также расчет ст</w:t>
      </w:r>
      <w:r w:rsidR="005D69DD">
        <w:rPr>
          <w:rFonts w:ascii="Times New Roman" w:hAnsi="Times New Roman" w:cs="Times New Roman"/>
          <w:sz w:val="24"/>
        </w:rPr>
        <w:t>оимости инв</w:t>
      </w:r>
      <w:r w:rsidR="005D69DD">
        <w:rPr>
          <w:rFonts w:ascii="Times New Roman" w:hAnsi="Times New Roman" w:cs="Times New Roman"/>
          <w:sz w:val="24"/>
        </w:rPr>
        <w:t>е</w:t>
      </w:r>
      <w:r w:rsidR="005D69DD">
        <w:rPr>
          <w:rFonts w:ascii="Times New Roman" w:hAnsi="Times New Roman" w:cs="Times New Roman"/>
          <w:sz w:val="24"/>
        </w:rPr>
        <w:t>стиционного проекта».</w:t>
      </w:r>
    </w:p>
    <w:p w:rsidR="00312CF7" w:rsidRDefault="00312CF7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12CF7">
        <w:rPr>
          <w:rFonts w:ascii="Times New Roman" w:hAnsi="Times New Roman" w:cs="Times New Roman"/>
          <w:sz w:val="24"/>
        </w:rPr>
        <w:t xml:space="preserve">Абзац 2 пункта 2.3 </w:t>
      </w:r>
      <w:r w:rsidR="00D00A35" w:rsidRPr="005B2D83">
        <w:rPr>
          <w:rFonts w:ascii="Times New Roman" w:hAnsi="Times New Roman" w:cs="Times New Roman"/>
          <w:sz w:val="24"/>
        </w:rPr>
        <w:t xml:space="preserve">раздела 2 </w:t>
      </w:r>
      <w:r w:rsidR="00D00A35"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принятия решений о подготовке и реализации бюджетных инвестиций, разработка инвестиционного проекта»</w:t>
      </w:r>
      <w:r w:rsidRPr="00312CF7">
        <w:rPr>
          <w:rFonts w:ascii="Times New Roman" w:hAnsi="Times New Roman" w:cs="Times New Roman"/>
          <w:sz w:val="24"/>
        </w:rPr>
        <w:t xml:space="preserve"> изл</w:t>
      </w:r>
      <w:r w:rsidRPr="00312CF7">
        <w:rPr>
          <w:rFonts w:ascii="Times New Roman" w:hAnsi="Times New Roman" w:cs="Times New Roman"/>
          <w:sz w:val="24"/>
        </w:rPr>
        <w:t>о</w:t>
      </w:r>
      <w:r w:rsidRPr="00312CF7">
        <w:rPr>
          <w:rFonts w:ascii="Times New Roman" w:hAnsi="Times New Roman" w:cs="Times New Roman"/>
          <w:sz w:val="24"/>
        </w:rPr>
        <w:t xml:space="preserve">жить в следующей редакции: </w:t>
      </w:r>
      <w:proofErr w:type="gramStart"/>
      <w:r w:rsidRPr="00312CF7">
        <w:rPr>
          <w:rFonts w:ascii="Times New Roman" w:hAnsi="Times New Roman" w:cs="Times New Roman"/>
          <w:sz w:val="24"/>
        </w:rPr>
        <w:t>«Для проверки инвестиционного проекта на предмет эффективности использования средств бюджета</w:t>
      </w:r>
      <w:r w:rsidR="00FE259B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Pr="00312CF7">
        <w:rPr>
          <w:rFonts w:ascii="Times New Roman" w:hAnsi="Times New Roman" w:cs="Times New Roman"/>
          <w:sz w:val="24"/>
        </w:rPr>
        <w:t>Т</w:t>
      </w:r>
      <w:r w:rsidRPr="00312CF7">
        <w:rPr>
          <w:rFonts w:ascii="Times New Roman" w:hAnsi="Times New Roman" w:cs="Times New Roman"/>
          <w:sz w:val="24"/>
        </w:rPr>
        <w:t>о</w:t>
      </w:r>
      <w:r w:rsidRPr="00312CF7">
        <w:rPr>
          <w:rFonts w:ascii="Times New Roman" w:hAnsi="Times New Roman" w:cs="Times New Roman"/>
          <w:sz w:val="24"/>
        </w:rPr>
        <w:t>сненск</w:t>
      </w:r>
      <w:r w:rsidR="00FE259B">
        <w:rPr>
          <w:rFonts w:ascii="Times New Roman" w:hAnsi="Times New Roman" w:cs="Times New Roman"/>
          <w:sz w:val="24"/>
        </w:rPr>
        <w:t>ий муниципальный район Ленинградской области</w:t>
      </w:r>
      <w:r w:rsidRPr="00312CF7">
        <w:rPr>
          <w:rFonts w:ascii="Times New Roman" w:hAnsi="Times New Roman" w:cs="Times New Roman"/>
          <w:sz w:val="24"/>
        </w:rPr>
        <w:t xml:space="preserve"> или бюджета Тосненского городского поселения</w:t>
      </w:r>
      <w:r w:rsidR="00FE259B">
        <w:rPr>
          <w:rFonts w:ascii="Times New Roman" w:hAnsi="Times New Roman" w:cs="Times New Roman"/>
          <w:sz w:val="24"/>
        </w:rPr>
        <w:t xml:space="preserve"> Тосненского муниципального района Ленинградской обл</w:t>
      </w:r>
      <w:r w:rsidR="00FE259B">
        <w:rPr>
          <w:rFonts w:ascii="Times New Roman" w:hAnsi="Times New Roman" w:cs="Times New Roman"/>
          <w:sz w:val="24"/>
        </w:rPr>
        <w:t>а</w:t>
      </w:r>
      <w:r w:rsidR="00FE259B">
        <w:rPr>
          <w:rFonts w:ascii="Times New Roman" w:hAnsi="Times New Roman" w:cs="Times New Roman"/>
          <w:sz w:val="24"/>
        </w:rPr>
        <w:t>сти</w:t>
      </w:r>
      <w:r w:rsidRPr="00312CF7">
        <w:rPr>
          <w:rFonts w:ascii="Times New Roman" w:hAnsi="Times New Roman" w:cs="Times New Roman"/>
          <w:sz w:val="24"/>
        </w:rPr>
        <w:t>, направляемых на осуществление капитальных вложений в объект муниц</w:t>
      </w:r>
      <w:r w:rsidRPr="00312CF7">
        <w:rPr>
          <w:rFonts w:ascii="Times New Roman" w:hAnsi="Times New Roman" w:cs="Times New Roman"/>
          <w:sz w:val="24"/>
        </w:rPr>
        <w:t>и</w:t>
      </w:r>
      <w:r w:rsidRPr="00312CF7">
        <w:rPr>
          <w:rFonts w:ascii="Times New Roman" w:hAnsi="Times New Roman" w:cs="Times New Roman"/>
          <w:sz w:val="24"/>
        </w:rPr>
        <w:t xml:space="preserve">пальной собственности, Исполнитель направляет в комитет социально-экономического развития администрации (далее – комитет социально-экономического развития) разработанный инвестиционный проект и технико-экономическое обоснование </w:t>
      </w:r>
      <w:bookmarkStart w:id="5" w:name="_Hlk137199725"/>
      <w:r w:rsidRPr="00312CF7">
        <w:rPr>
          <w:rFonts w:ascii="Times New Roman" w:hAnsi="Times New Roman" w:cs="Times New Roman"/>
          <w:sz w:val="24"/>
        </w:rPr>
        <w:t>или иной документ, обосновывающий необходимость капитальных вложений</w:t>
      </w:r>
      <w:bookmarkEnd w:id="5"/>
      <w:proofErr w:type="gramEnd"/>
      <w:r w:rsidRPr="00312CF7">
        <w:rPr>
          <w:rFonts w:ascii="Times New Roman" w:hAnsi="Times New Roman" w:cs="Times New Roman"/>
          <w:sz w:val="24"/>
        </w:rPr>
        <w:t>».</w:t>
      </w:r>
    </w:p>
    <w:p w:rsidR="00312CF7" w:rsidRPr="00312CF7" w:rsidRDefault="00312CF7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12CF7">
        <w:rPr>
          <w:rFonts w:ascii="Times New Roman" w:hAnsi="Times New Roman" w:cs="Times New Roman"/>
          <w:sz w:val="24"/>
        </w:rPr>
        <w:t xml:space="preserve">Пункт 3.2 </w:t>
      </w:r>
      <w:r w:rsidR="00A84F32" w:rsidRPr="005B2D83">
        <w:rPr>
          <w:rFonts w:ascii="Times New Roman" w:hAnsi="Times New Roman" w:cs="Times New Roman"/>
          <w:sz w:val="24"/>
        </w:rPr>
        <w:t>раздела 3 «Реализация инвестиционного проекта»</w:t>
      </w:r>
      <w:r w:rsidRPr="00312CF7">
        <w:rPr>
          <w:rFonts w:ascii="Times New Roman" w:hAnsi="Times New Roman" w:cs="Times New Roman"/>
          <w:sz w:val="24"/>
        </w:rPr>
        <w:t xml:space="preserve"> изложить в следующей редакции: «3.2. Ежегодно Исполнитель формирует план-график инв</w:t>
      </w:r>
      <w:r w:rsidRPr="00312CF7">
        <w:rPr>
          <w:rFonts w:ascii="Times New Roman" w:hAnsi="Times New Roman" w:cs="Times New Roman"/>
          <w:sz w:val="24"/>
        </w:rPr>
        <w:t>е</w:t>
      </w:r>
      <w:r w:rsidRPr="00312CF7">
        <w:rPr>
          <w:rFonts w:ascii="Times New Roman" w:hAnsi="Times New Roman" w:cs="Times New Roman"/>
          <w:sz w:val="24"/>
        </w:rPr>
        <w:t>стиционного проекта на очередной финансовый год, детализируя мероприятия и</w:t>
      </w:r>
      <w:r w:rsidRPr="00312CF7">
        <w:rPr>
          <w:rFonts w:ascii="Times New Roman" w:hAnsi="Times New Roman" w:cs="Times New Roman"/>
          <w:sz w:val="24"/>
        </w:rPr>
        <w:t>н</w:t>
      </w:r>
      <w:r w:rsidRPr="00312CF7">
        <w:rPr>
          <w:rFonts w:ascii="Times New Roman" w:hAnsi="Times New Roman" w:cs="Times New Roman"/>
          <w:sz w:val="24"/>
        </w:rPr>
        <w:t>вестиционного проекта, по форме согласно приложению 3 к настоящему Полож</w:t>
      </w:r>
      <w:r w:rsidRPr="00312CF7">
        <w:rPr>
          <w:rFonts w:ascii="Times New Roman" w:hAnsi="Times New Roman" w:cs="Times New Roman"/>
          <w:sz w:val="24"/>
        </w:rPr>
        <w:t>е</w:t>
      </w:r>
      <w:r w:rsidRPr="00312CF7">
        <w:rPr>
          <w:rFonts w:ascii="Times New Roman" w:hAnsi="Times New Roman" w:cs="Times New Roman"/>
          <w:sz w:val="24"/>
        </w:rPr>
        <w:t>нию.</w:t>
      </w:r>
    </w:p>
    <w:p w:rsidR="00312CF7" w:rsidRPr="00312CF7" w:rsidRDefault="00312CF7" w:rsidP="006751C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12CF7">
        <w:rPr>
          <w:rFonts w:ascii="Times New Roman" w:hAnsi="Times New Roman" w:cs="Times New Roman"/>
          <w:sz w:val="24"/>
        </w:rPr>
        <w:t>План-график инвестиционного проекта является неотъемлемой частью инв</w:t>
      </w:r>
      <w:r w:rsidRPr="00312CF7">
        <w:rPr>
          <w:rFonts w:ascii="Times New Roman" w:hAnsi="Times New Roman" w:cs="Times New Roman"/>
          <w:sz w:val="24"/>
        </w:rPr>
        <w:t>е</w:t>
      </w:r>
      <w:r w:rsidRPr="00312CF7">
        <w:rPr>
          <w:rFonts w:ascii="Times New Roman" w:hAnsi="Times New Roman" w:cs="Times New Roman"/>
          <w:sz w:val="24"/>
        </w:rPr>
        <w:t>стиционного проекта».</w:t>
      </w:r>
    </w:p>
    <w:p w:rsidR="009E7CEA" w:rsidRPr="005B2D83" w:rsidRDefault="009E7CEA" w:rsidP="006751C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B2D83">
        <w:rPr>
          <w:rFonts w:ascii="Times New Roman" w:hAnsi="Times New Roman" w:cs="Times New Roman"/>
          <w:sz w:val="24"/>
        </w:rPr>
        <w:t xml:space="preserve">Пункт 3.7 раздела 3 «Реализация инвестиционного проекта» </w:t>
      </w:r>
      <w:r w:rsidR="00593B77" w:rsidRPr="005B2D83">
        <w:rPr>
          <w:rFonts w:ascii="Times New Roman" w:hAnsi="Times New Roman" w:cs="Times New Roman"/>
          <w:sz w:val="24"/>
        </w:rPr>
        <w:t xml:space="preserve">дополнить словами следующего содержания: «- </w:t>
      </w:r>
      <w:r w:rsidR="005B2D83">
        <w:rPr>
          <w:rFonts w:ascii="Times New Roman" w:hAnsi="Times New Roman" w:cs="Times New Roman"/>
          <w:sz w:val="24"/>
        </w:rPr>
        <w:t>о продолжении осуществления капитальных вложений в объекты муниципальной собственности».</w:t>
      </w:r>
    </w:p>
    <w:p w:rsidR="009E7CEA" w:rsidRDefault="009E7CEA" w:rsidP="006751CE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3.8 раздела 3 «Реализация инвестиционного проекта» изложить в следующей редакции:</w:t>
      </w:r>
    </w:p>
    <w:p w:rsidR="00911878" w:rsidRPr="00911878" w:rsidRDefault="009E7CEA" w:rsidP="006751C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«3.8. </w:t>
      </w:r>
      <w:proofErr w:type="gramStart"/>
      <w:r w:rsidR="00312CF7" w:rsidRPr="00312CF7">
        <w:rPr>
          <w:rFonts w:ascii="Times New Roman" w:hAnsi="Times New Roman" w:cs="Times New Roman"/>
          <w:sz w:val="24"/>
        </w:rPr>
        <w:t>Итоговый отчет о реализации инвестиционного проекта и пояснительная записка направляются Исполнителем на рассмотрение в комитет социально-</w:t>
      </w:r>
      <w:r w:rsidR="00312CF7" w:rsidRPr="00312CF7">
        <w:rPr>
          <w:rFonts w:ascii="Times New Roman" w:hAnsi="Times New Roman" w:cs="Times New Roman"/>
          <w:sz w:val="24"/>
        </w:rPr>
        <w:lastRenderedPageBreak/>
        <w:t>экономического развития и Инвестиционную комиссию в срок до 25 числа месяца, следующего за кварталом, в котором завершена реализация инвестиционного пр</w:t>
      </w:r>
      <w:r w:rsidR="00312CF7" w:rsidRPr="00312CF7">
        <w:rPr>
          <w:rFonts w:ascii="Times New Roman" w:hAnsi="Times New Roman" w:cs="Times New Roman"/>
          <w:sz w:val="24"/>
        </w:rPr>
        <w:t>о</w:t>
      </w:r>
      <w:r w:rsidR="00312CF7" w:rsidRPr="00312CF7">
        <w:rPr>
          <w:rFonts w:ascii="Times New Roman" w:hAnsi="Times New Roman" w:cs="Times New Roman"/>
          <w:sz w:val="24"/>
        </w:rPr>
        <w:t>екта, а в случае завершения реализации инвестиционного проекта в 4 квартале – не позднее 15 февраля года, следующего за отчетным.</w:t>
      </w:r>
      <w:proofErr w:type="gramEnd"/>
    </w:p>
    <w:p w:rsidR="00312CF7" w:rsidRPr="00911878" w:rsidRDefault="00312CF7" w:rsidP="00312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11878">
        <w:rPr>
          <w:rFonts w:ascii="Times New Roman" w:hAnsi="Times New Roman" w:cs="Times New Roman"/>
          <w:sz w:val="24"/>
        </w:rPr>
        <w:t xml:space="preserve">По итогам рассмотрения Инвестиционная комиссия </w:t>
      </w:r>
      <w:r w:rsidR="00911878" w:rsidRPr="00911878">
        <w:rPr>
          <w:rFonts w:ascii="Times New Roman" w:hAnsi="Times New Roman" w:cs="Times New Roman"/>
          <w:sz w:val="24"/>
        </w:rPr>
        <w:t>до 30 числа второго м</w:t>
      </w:r>
      <w:r w:rsidR="00911878" w:rsidRPr="00911878">
        <w:rPr>
          <w:rFonts w:ascii="Times New Roman" w:hAnsi="Times New Roman" w:cs="Times New Roman"/>
          <w:sz w:val="24"/>
        </w:rPr>
        <w:t>е</w:t>
      </w:r>
      <w:r w:rsidR="00911878" w:rsidRPr="00911878">
        <w:rPr>
          <w:rFonts w:ascii="Times New Roman" w:hAnsi="Times New Roman" w:cs="Times New Roman"/>
          <w:sz w:val="24"/>
        </w:rPr>
        <w:t xml:space="preserve">сяца, следующего за кварталом, в котором завершена реализация инвестиционного проекта, </w:t>
      </w:r>
      <w:r w:rsidRPr="00911878">
        <w:rPr>
          <w:rFonts w:ascii="Times New Roman" w:hAnsi="Times New Roman" w:cs="Times New Roman"/>
          <w:sz w:val="24"/>
        </w:rPr>
        <w:t>выносит одно из следующих предложений:</w:t>
      </w:r>
    </w:p>
    <w:p w:rsidR="00312CF7" w:rsidRPr="00312CF7" w:rsidRDefault="00312CF7" w:rsidP="00312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2CF7">
        <w:rPr>
          <w:rFonts w:ascii="Times New Roman" w:hAnsi="Times New Roman" w:cs="Times New Roman"/>
          <w:sz w:val="24"/>
        </w:rPr>
        <w:t>- о достижении целей, решение задач и достижение конечных результатов инвестиционного проекта;</w:t>
      </w:r>
    </w:p>
    <w:p w:rsidR="00911878" w:rsidRDefault="00312CF7" w:rsidP="00312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2CF7">
        <w:rPr>
          <w:rFonts w:ascii="Times New Roman" w:hAnsi="Times New Roman" w:cs="Times New Roman"/>
          <w:sz w:val="24"/>
        </w:rPr>
        <w:t>- о неполном достижении целей, решение задач и достижение конечных р</w:t>
      </w:r>
      <w:r w:rsidRPr="00312CF7">
        <w:rPr>
          <w:rFonts w:ascii="Times New Roman" w:hAnsi="Times New Roman" w:cs="Times New Roman"/>
          <w:sz w:val="24"/>
        </w:rPr>
        <w:t>е</w:t>
      </w:r>
      <w:r w:rsidRPr="00312CF7">
        <w:rPr>
          <w:rFonts w:ascii="Times New Roman" w:hAnsi="Times New Roman" w:cs="Times New Roman"/>
          <w:sz w:val="24"/>
        </w:rPr>
        <w:t>зультатов инвестиционного проекта.</w:t>
      </w:r>
    </w:p>
    <w:p w:rsidR="001805A4" w:rsidRDefault="00911878" w:rsidP="00312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по вынесенным предложениям принимает глава администрации</w:t>
      </w:r>
      <w:r w:rsidR="001805A4">
        <w:rPr>
          <w:rFonts w:ascii="Times New Roman" w:hAnsi="Times New Roman" w:cs="Times New Roman"/>
          <w:sz w:val="24"/>
        </w:rPr>
        <w:t>».</w:t>
      </w:r>
    </w:p>
    <w:p w:rsidR="001805A4" w:rsidRPr="001805A4" w:rsidRDefault="001805A4" w:rsidP="006751C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Пункт 4.3 раздела 4 «Внесение изменений и досрочное завершение реализации инвестиционного проекта» изложить в следующей редакции:</w:t>
      </w:r>
    </w:p>
    <w:p w:rsidR="001805A4" w:rsidRPr="001805A4" w:rsidRDefault="001805A4" w:rsidP="00312C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«4.3. </w:t>
      </w:r>
      <w:r w:rsidRPr="001805A4">
        <w:rPr>
          <w:rFonts w:ascii="Times New Roman" w:hAnsi="Times New Roman" w:cs="Times New Roman"/>
          <w:sz w:val="24"/>
        </w:rPr>
        <w:t>Не допускается внесение изменений в следующие разделы паспорта инвестиционного проекта:</w:t>
      </w:r>
    </w:p>
    <w:p w:rsidR="001805A4" w:rsidRPr="001805A4" w:rsidRDefault="00677CAB" w:rsidP="00677C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05A4" w:rsidRPr="001805A4">
        <w:rPr>
          <w:rFonts w:ascii="Times New Roman" w:hAnsi="Times New Roman" w:cs="Times New Roman"/>
          <w:sz w:val="24"/>
        </w:rPr>
        <w:t>наименование инвестиционного проекта, за исключением случаев, об</w:t>
      </w:r>
      <w:r w:rsidR="001805A4" w:rsidRPr="001805A4">
        <w:rPr>
          <w:rFonts w:ascii="Times New Roman" w:hAnsi="Times New Roman" w:cs="Times New Roman"/>
          <w:sz w:val="24"/>
        </w:rPr>
        <w:t>у</w:t>
      </w:r>
      <w:r w:rsidR="001805A4" w:rsidRPr="001805A4">
        <w:rPr>
          <w:rFonts w:ascii="Times New Roman" w:hAnsi="Times New Roman" w:cs="Times New Roman"/>
          <w:sz w:val="24"/>
        </w:rPr>
        <w:t>словленных внесением изменений в нормативные правовые акты Российской Фед</w:t>
      </w:r>
      <w:r w:rsidR="001805A4" w:rsidRPr="001805A4">
        <w:rPr>
          <w:rFonts w:ascii="Times New Roman" w:hAnsi="Times New Roman" w:cs="Times New Roman"/>
          <w:sz w:val="24"/>
        </w:rPr>
        <w:t>е</w:t>
      </w:r>
      <w:r w:rsidR="001805A4" w:rsidRPr="001805A4">
        <w:rPr>
          <w:rFonts w:ascii="Times New Roman" w:hAnsi="Times New Roman" w:cs="Times New Roman"/>
          <w:sz w:val="24"/>
        </w:rPr>
        <w:t>рации, Ленинградской области, Тосненского района и Тосненского городского п</w:t>
      </w:r>
      <w:r w:rsidR="001805A4" w:rsidRPr="001805A4">
        <w:rPr>
          <w:rFonts w:ascii="Times New Roman" w:hAnsi="Times New Roman" w:cs="Times New Roman"/>
          <w:sz w:val="24"/>
        </w:rPr>
        <w:t>о</w:t>
      </w:r>
      <w:r w:rsidR="001805A4" w:rsidRPr="001805A4">
        <w:rPr>
          <w:rFonts w:ascii="Times New Roman" w:hAnsi="Times New Roman" w:cs="Times New Roman"/>
          <w:sz w:val="24"/>
        </w:rPr>
        <w:t>селения;</w:t>
      </w:r>
    </w:p>
    <w:p w:rsidR="001805A4" w:rsidRPr="001805A4" w:rsidRDefault="00677CAB" w:rsidP="00677C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05A4" w:rsidRPr="001805A4">
        <w:rPr>
          <w:rFonts w:ascii="Times New Roman" w:hAnsi="Times New Roman" w:cs="Times New Roman"/>
          <w:sz w:val="24"/>
        </w:rPr>
        <w:t>цель инвестиционного проекта;</w:t>
      </w:r>
    </w:p>
    <w:p w:rsidR="001805A4" w:rsidRPr="00312CF7" w:rsidRDefault="00677CAB" w:rsidP="00677C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1805A4" w:rsidRPr="001805A4">
        <w:rPr>
          <w:rFonts w:ascii="Times New Roman" w:hAnsi="Times New Roman" w:cs="Times New Roman"/>
          <w:sz w:val="24"/>
        </w:rPr>
        <w:t>ожидаемый конечный результат реализации инв</w:t>
      </w:r>
      <w:r w:rsidR="001805A4">
        <w:rPr>
          <w:rFonts w:ascii="Times New Roman" w:hAnsi="Times New Roman" w:cs="Times New Roman"/>
          <w:sz w:val="24"/>
        </w:rPr>
        <w:t>естиционного проекта, е</w:t>
      </w:r>
      <w:r w:rsidR="001805A4">
        <w:rPr>
          <w:rFonts w:ascii="Times New Roman" w:hAnsi="Times New Roman" w:cs="Times New Roman"/>
          <w:sz w:val="24"/>
        </w:rPr>
        <w:t>с</w:t>
      </w:r>
      <w:r w:rsidR="001805A4">
        <w:rPr>
          <w:rFonts w:ascii="Times New Roman" w:hAnsi="Times New Roman" w:cs="Times New Roman"/>
          <w:sz w:val="24"/>
        </w:rPr>
        <w:t>ли изме</w:t>
      </w:r>
      <w:r w:rsidR="001805A4" w:rsidRPr="001805A4">
        <w:rPr>
          <w:rFonts w:ascii="Times New Roman" w:hAnsi="Times New Roman" w:cs="Times New Roman"/>
          <w:sz w:val="24"/>
        </w:rPr>
        <w:t>нения могут привести к ухудшению результатов, выраж</w:t>
      </w:r>
      <w:r w:rsidR="001805A4">
        <w:rPr>
          <w:rFonts w:ascii="Times New Roman" w:hAnsi="Times New Roman" w:cs="Times New Roman"/>
          <w:sz w:val="24"/>
        </w:rPr>
        <w:t>енных в показат</w:t>
      </w:r>
      <w:r w:rsidR="001805A4">
        <w:rPr>
          <w:rFonts w:ascii="Times New Roman" w:hAnsi="Times New Roman" w:cs="Times New Roman"/>
          <w:sz w:val="24"/>
        </w:rPr>
        <w:t>е</w:t>
      </w:r>
      <w:r w:rsidR="001805A4">
        <w:rPr>
          <w:rFonts w:ascii="Times New Roman" w:hAnsi="Times New Roman" w:cs="Times New Roman"/>
          <w:sz w:val="24"/>
        </w:rPr>
        <w:t>лях, за исключе</w:t>
      </w:r>
      <w:r w:rsidR="001805A4" w:rsidRPr="001805A4">
        <w:rPr>
          <w:rFonts w:ascii="Times New Roman" w:hAnsi="Times New Roman" w:cs="Times New Roman"/>
          <w:sz w:val="24"/>
        </w:rPr>
        <w:t>нием случаев, обусловленных сокращением объемов финансиров</w:t>
      </w:r>
      <w:r w:rsidR="001805A4" w:rsidRPr="001805A4">
        <w:rPr>
          <w:rFonts w:ascii="Times New Roman" w:hAnsi="Times New Roman" w:cs="Times New Roman"/>
          <w:sz w:val="24"/>
        </w:rPr>
        <w:t>а</w:t>
      </w:r>
      <w:r w:rsidR="001805A4" w:rsidRPr="001805A4">
        <w:rPr>
          <w:rFonts w:ascii="Times New Roman" w:hAnsi="Times New Roman" w:cs="Times New Roman"/>
          <w:sz w:val="24"/>
        </w:rPr>
        <w:t>ния инвестиционного проекта, необходимостью включения в инвестицион</w:t>
      </w:r>
      <w:r w:rsidR="001805A4">
        <w:rPr>
          <w:rFonts w:ascii="Times New Roman" w:hAnsi="Times New Roman" w:cs="Times New Roman"/>
          <w:sz w:val="24"/>
        </w:rPr>
        <w:t>ный пр</w:t>
      </w:r>
      <w:r w:rsidR="001805A4">
        <w:rPr>
          <w:rFonts w:ascii="Times New Roman" w:hAnsi="Times New Roman" w:cs="Times New Roman"/>
          <w:sz w:val="24"/>
        </w:rPr>
        <w:t>о</w:t>
      </w:r>
      <w:r w:rsidR="001805A4">
        <w:rPr>
          <w:rFonts w:ascii="Times New Roman" w:hAnsi="Times New Roman" w:cs="Times New Roman"/>
          <w:sz w:val="24"/>
        </w:rPr>
        <w:t>ект новых показателей ко</w:t>
      </w:r>
      <w:r w:rsidR="001805A4" w:rsidRPr="001805A4">
        <w:rPr>
          <w:rFonts w:ascii="Times New Roman" w:hAnsi="Times New Roman" w:cs="Times New Roman"/>
          <w:sz w:val="24"/>
        </w:rPr>
        <w:t>нечного результата инвестиционного проекта, внесения изменений в нормативные правовые акты Российской Федерации, Ленинградской области, Тосненского района и Тосненского городского поселения</w:t>
      </w:r>
      <w:r w:rsidR="001805A4">
        <w:rPr>
          <w:rFonts w:ascii="Times New Roman" w:hAnsi="Times New Roman" w:cs="Times New Roman"/>
          <w:sz w:val="24"/>
        </w:rPr>
        <w:t>».</w:t>
      </w:r>
      <w:proofErr w:type="gramEnd"/>
    </w:p>
    <w:p w:rsidR="00312CF7" w:rsidRPr="005B2D83" w:rsidRDefault="00312CF7" w:rsidP="006751C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4.4 </w:t>
      </w:r>
      <w:r w:rsidR="00A84F32" w:rsidRPr="005B2D83">
        <w:rPr>
          <w:rFonts w:ascii="Times New Roman" w:hAnsi="Times New Roman" w:cs="Times New Roman"/>
          <w:sz w:val="24"/>
        </w:rPr>
        <w:t>раздела 4 «Внесение изменений и досрочное завершение реализации инвестиционного проекта»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«откорректированный инвестицио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паспорт» заменить на «откорректированный инвестиционный проект».</w:t>
      </w:r>
    </w:p>
    <w:p w:rsidR="000214BE" w:rsidRPr="0069052C" w:rsidRDefault="000214BE" w:rsidP="006751C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Приложение 5.1 к Положению изложить в новой редакции (прилож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ние</w:t>
      </w:r>
      <w:r w:rsidR="0069052C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).</w:t>
      </w:r>
    </w:p>
    <w:p w:rsidR="0069052C" w:rsidRDefault="0069052C" w:rsidP="006751C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Приложение 5.2 к Положению изложить в новой редакции (прилож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ние 2).</w:t>
      </w:r>
    </w:p>
    <w:p w:rsidR="00C7794A" w:rsidRPr="00C7794A" w:rsidRDefault="00C7794A" w:rsidP="00C77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4A">
        <w:rPr>
          <w:rFonts w:ascii="Times New Roman" w:hAnsi="Times New Roman" w:cs="Times New Roman"/>
          <w:sz w:val="24"/>
          <w:szCs w:val="24"/>
        </w:rPr>
        <w:t>2. 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C7794A">
        <w:rPr>
          <w:rFonts w:ascii="Times New Roman" w:hAnsi="Times New Roman" w:cs="Times New Roman"/>
          <w:sz w:val="24"/>
          <w:szCs w:val="24"/>
        </w:rPr>
        <w:t>ь</w:t>
      </w:r>
      <w:r w:rsidRPr="00C7794A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Pr="00C7794A">
        <w:rPr>
          <w:rFonts w:ascii="Times New Roman" w:hAnsi="Times New Roman" w:cs="Times New Roman"/>
          <w:sz w:val="24"/>
          <w:szCs w:val="24"/>
        </w:rPr>
        <w:t>а</w:t>
      </w:r>
      <w:r w:rsidRPr="00C7794A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</w:t>
      </w:r>
      <w:r w:rsidR="00677CAB">
        <w:rPr>
          <w:rFonts w:ascii="Times New Roman" w:hAnsi="Times New Roman" w:cs="Times New Roman"/>
          <w:sz w:val="24"/>
          <w:szCs w:val="24"/>
        </w:rPr>
        <w:t xml:space="preserve"> и</w:t>
      </w:r>
      <w:r w:rsidRPr="00C7794A">
        <w:rPr>
          <w:rFonts w:ascii="Times New Roman" w:hAnsi="Times New Roman" w:cs="Times New Roman"/>
          <w:sz w:val="24"/>
          <w:szCs w:val="24"/>
        </w:rPr>
        <w:t xml:space="preserve"> обнародования в порядке, установленном Уставом муниципал</w:t>
      </w:r>
      <w:r w:rsidRPr="00C7794A">
        <w:rPr>
          <w:rFonts w:ascii="Times New Roman" w:hAnsi="Times New Roman" w:cs="Times New Roman"/>
          <w:sz w:val="24"/>
          <w:szCs w:val="24"/>
        </w:rPr>
        <w:t>ь</w:t>
      </w:r>
      <w:r w:rsidRPr="00C7794A">
        <w:rPr>
          <w:rFonts w:ascii="Times New Roman" w:hAnsi="Times New Roman" w:cs="Times New Roman"/>
          <w:sz w:val="24"/>
          <w:szCs w:val="24"/>
        </w:rPr>
        <w:t>ного образования Тосненский</w:t>
      </w:r>
      <w:r w:rsidR="00677CA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7794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C7794A" w:rsidRPr="00C7794A" w:rsidRDefault="00C7794A" w:rsidP="00C77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4A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</w:t>
      </w:r>
      <w:r w:rsidRPr="00C7794A">
        <w:rPr>
          <w:rFonts w:ascii="Times New Roman" w:hAnsi="Times New Roman" w:cs="Times New Roman"/>
          <w:sz w:val="24"/>
          <w:szCs w:val="24"/>
        </w:rPr>
        <w:t>в</w:t>
      </w:r>
      <w:r w:rsidRPr="00C7794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C7794A">
        <w:rPr>
          <w:rFonts w:ascii="Times New Roman" w:hAnsi="Times New Roman" w:cs="Times New Roman"/>
          <w:sz w:val="24"/>
          <w:szCs w:val="24"/>
        </w:rPr>
        <w:t>о</w:t>
      </w:r>
      <w:r w:rsidRPr="00C7794A">
        <w:rPr>
          <w:rFonts w:ascii="Times New Roman" w:hAnsi="Times New Roman" w:cs="Times New Roman"/>
          <w:sz w:val="24"/>
          <w:szCs w:val="24"/>
        </w:rPr>
        <w:t>вать</w:t>
      </w:r>
      <w:r w:rsidR="00677CAB">
        <w:rPr>
          <w:rFonts w:ascii="Times New Roman" w:hAnsi="Times New Roman" w:cs="Times New Roman"/>
          <w:sz w:val="24"/>
          <w:szCs w:val="24"/>
        </w:rPr>
        <w:t xml:space="preserve"> и</w:t>
      </w:r>
      <w:r w:rsidRPr="00C7794A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порядке, установленном Уставом муниципального образования Тосненский</w:t>
      </w:r>
      <w:r w:rsidR="00677CA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7794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C7794A" w:rsidRPr="00C7794A" w:rsidRDefault="00C7794A" w:rsidP="00C779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4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779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94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Pr="00C7794A" w:rsidRDefault="00677CAB" w:rsidP="00675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67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C7794A" w:rsidRPr="00C7794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794A" w:rsidRPr="00C779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7794A" w:rsidRPr="00C779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P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4A" w:rsidRDefault="00C7794A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6AD8" w:rsidRDefault="00BC6AD8" w:rsidP="00C779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51CE" w:rsidRDefault="00C7794A" w:rsidP="00675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51CE">
        <w:rPr>
          <w:rFonts w:ascii="Times New Roman" w:hAnsi="Times New Roman" w:cs="Times New Roman"/>
          <w:sz w:val="20"/>
          <w:szCs w:val="20"/>
        </w:rPr>
        <w:t>Ермолина Анна Геннадьевна, 8(81361)33222</w:t>
      </w:r>
    </w:p>
    <w:p w:rsidR="00243B69" w:rsidRPr="006751CE" w:rsidRDefault="00BC6AD8" w:rsidP="00675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  <w:r w:rsidR="00243B69" w:rsidRPr="006751CE">
        <w:rPr>
          <w:rFonts w:ascii="Times New Roman" w:hAnsi="Times New Roman" w:cs="Times New Roman"/>
          <w:sz w:val="20"/>
          <w:szCs w:val="20"/>
        </w:rPr>
        <w:br w:type="page"/>
      </w:r>
    </w:p>
    <w:p w:rsidR="00243B69" w:rsidRDefault="00243B69">
      <w:pPr>
        <w:sectPr w:rsidR="00243B69" w:rsidSect="006751CE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243B69" w:rsidRDefault="00243B69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  <w:r w:rsidR="006905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</w:p>
    <w:p w:rsidR="00BC6AD8" w:rsidRDefault="00677CAB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6" w:name="_Hlk13867381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BC6AD8" w:rsidRDefault="00BC6AD8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677C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униципального образования </w:t>
      </w:r>
    </w:p>
    <w:p w:rsidR="00677CAB" w:rsidRDefault="00677CAB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Тосненский район Ленинградской области</w:t>
      </w:r>
    </w:p>
    <w:p w:rsidR="00677CAB" w:rsidRDefault="00677CAB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7CAB" w:rsidRDefault="00677CAB" w:rsidP="00BC6AD8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</w:t>
      </w:r>
      <w:r w:rsidR="001F4C13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№</w:t>
      </w:r>
      <w:r w:rsidR="001F4C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2293-па</w:t>
      </w:r>
    </w:p>
    <w:bookmarkEnd w:id="6"/>
    <w:p w:rsidR="00243B69" w:rsidRDefault="00243B69" w:rsidP="00677CAB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B69" w:rsidRPr="00243B69" w:rsidRDefault="00243B69" w:rsidP="00677CAB">
      <w:pPr>
        <w:tabs>
          <w:tab w:val="left" w:pos="1980"/>
          <w:tab w:val="left" w:pos="2040"/>
        </w:tabs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5.1</w:t>
      </w:r>
    </w:p>
    <w:p w:rsidR="00243B69" w:rsidRPr="00243B69" w:rsidRDefault="00243B69" w:rsidP="00677CAB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Расчет интегральной оценки эффективности инвестиционного проекта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проекта (по паспорту инвестиционного проекта) _________________________________</w:t>
      </w:r>
    </w:p>
    <w:p w:rsidR="00243B69" w:rsidRPr="00243B69" w:rsidRDefault="00243B69" w:rsidP="00243B69">
      <w:pPr>
        <w:tabs>
          <w:tab w:val="left" w:pos="35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B69" w:rsidRPr="00243B69" w:rsidRDefault="00243B69" w:rsidP="00243B69">
      <w:pPr>
        <w:tabs>
          <w:tab w:val="left" w:pos="351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  реализации    инвестиционного    проекта    (новое   строительство,</w:t>
      </w:r>
      <w:proofErr w:type="gramEnd"/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реконструкция,   в   том   числе   с  элементами  реставрации,  </w:t>
      </w:r>
      <w:proofErr w:type="gramStart"/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техническое</w:t>
      </w:r>
      <w:proofErr w:type="gramEnd"/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перевооружение или приобретение объекта недвижимого имущества) ________________________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Тип (назначение) проекта (по </w:t>
      </w:r>
      <w:hyperlink r:id="rId11" w:history="1">
        <w:r w:rsidRPr="00243B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приложению 5.2</w:t>
        </w:r>
      </w:hyperlink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Положению) ________________________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Таблица 1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Оценка соответствия инвестиционного проекта качественным критериям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49"/>
        <w:gridCol w:w="2470"/>
        <w:gridCol w:w="1465"/>
        <w:gridCol w:w="6319"/>
      </w:tblGrid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1B50AB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243B69"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43B69"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243B69"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Допустимые баллы оценки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 оценки</w:t>
            </w: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8A4F203" wp14:editId="4AE53F52">
                  <wp:extent cx="246380" cy="278130"/>
                  <wp:effectExtent l="0" t="0" r="127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(</w:t>
            </w:r>
            <w:proofErr w:type="gramEnd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</w:t>
            </w:r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</w:t>
            </w:r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Ссылки на документальные подтверждения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цели инвестиционного проекта приоритетам и целям, определенным в стратегии (стратегическом плане), прогнозе и программе социально-экономического развития муниципального образования, муниципальных программах, отраслевых стратегиях и концепциях развития муниципального образования Тосненский район Ленинградской области и Тосненское городское поселение (соответственно) на среднесрочный и долгосрочный периоды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Указываются разделы (пункты, параграфы и т.д.) стратегии (стратегического плана), прогноза, программы социально-экономического развития муниципального образования, наименование (разделы, пункты) муниципальных программ, отраслевых стратегий и концепций развития.</w:t>
            </w:r>
            <w:proofErr w:type="gramEnd"/>
          </w:p>
          <w:p w:rsidR="00243B69" w:rsidRPr="00243B69" w:rsidRDefault="00243B69" w:rsidP="00BC6AD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Указываются реквизиты нормативных правовых актов, устанавливающих (утверждающих) стратегии, концепции, программы.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96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Необходимость капитальных вложений в связи с осуществлением органами местного самоуправления полномочий, отнесенных к вопросам местного значения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органами местного самоуправления полномочий, отнесенных к предмету их ведения.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Обоснование выбора данного объекта недвижимого имущества (в случае приобретения конкретного объекта недвижимого имущества</w:t>
            </w:r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муниципальную собственность)</w:t>
            </w:r>
            <w:r w:rsidR="00BC6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Отсутствие в достаточном объеме замещающей продукции (работ и услуг), производимой иными организациями,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расположенными на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территории муниципального образования Тосненский район и Тосненского городское поселение (соответственно)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1;</w:t>
            </w:r>
          </w:p>
          <w:p w:rsid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Критерий не применим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для инвестиционных проектов, направленных на проведение проектно-изыскательских работ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Указываются: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объемы, основные характеристики продукции (работ, услуг), не имеющей мировых и отечественных аналогов,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либо замещаемой импортируемой продукции;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 для объектов капитального строительства,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инвестиционных проектов, направленных на проведение проектно-изыскательских работ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Указывается наименование муниципальной программы, в которую планируется включить инвестиционный проект</w:t>
            </w:r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 реквизиты решений совета депутатов муниципального образования, а также решений главных распорядителей средств местного бюджета по объектам, не включенным в указанные программы.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софинансировании</w:t>
            </w:r>
            <w:proofErr w:type="spellEnd"/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 для случаев приобретения объектов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инвестиционных проектов, направленных на проведение проектно-изыскательских работ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В случае если проведение государственной экспертизы проектной документации не требуется</w:t>
            </w:r>
            <w:r w:rsidR="00C52B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ссылка на соответствующие пункты и подпункты </w:t>
            </w:r>
            <w:hyperlink r:id="rId13" w:history="1">
              <w:r w:rsidRPr="00243B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статьи 49</w:t>
              </w:r>
            </w:hyperlink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Градостроительного кодекса Российской Федерации.</w:t>
            </w:r>
          </w:p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 xml:space="preserve">1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6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="000E5A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применим для инвестиционных проектов, направленных на реализацию проектно-изыскательских работ)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B0BA6" wp14:editId="3DBAB77F">
                  <wp:extent cx="564515" cy="278130"/>
                  <wp:effectExtent l="0" t="0" r="698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A95" w:rsidRDefault="000E5A95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0E5A95" w:rsidRPr="00243B69" w:rsidRDefault="000E5A95" w:rsidP="000E5A9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E54F5" wp14:editId="09AE2255">
                  <wp:extent cx="636270" cy="524510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A95">
              <w:rPr>
                <w:rFonts w:ascii="Times New Roman" w:eastAsia="Times New Roman" w:hAnsi="Times New Roman" w:cs="Times New Roman"/>
                <w:sz w:val="72"/>
                <w:szCs w:val="24"/>
                <w:lang w:val="en-US" w:eastAsia="zh-CN"/>
              </w:rPr>
              <w:t xml:space="preserve">  </w:t>
            </w:r>
            <w:r w:rsidR="000E5A95" w:rsidRPr="00936748">
              <w:rPr>
                <w:rFonts w:ascii="Times New Roman" w:eastAsia="Times New Roman" w:hAnsi="Times New Roman" w:cs="Times New Roman"/>
                <w:sz w:val="72"/>
                <w:szCs w:val="24"/>
                <w:lang w:eastAsia="zh-CN"/>
              </w:rPr>
              <w:t xml:space="preserve"> 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7DCDC" wp14:editId="4390D6C9">
                  <wp:extent cx="246380" cy="278130"/>
                  <wp:effectExtent l="0" t="0" r="127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BC6AD8">
            <w:pPr>
              <w:suppressAutoHyphens/>
              <w:autoSpaceDE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CC865" wp14:editId="01F08956">
                  <wp:extent cx="2607945" cy="524510"/>
                  <wp:effectExtent l="0" t="0" r="190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B69" w:rsidRPr="00243B69" w:rsidRDefault="00243B69" w:rsidP="00243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3B69" w:rsidRPr="00243B69" w:rsidRDefault="00243B69" w:rsidP="00243B6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Таблица 2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Оценка соответствия инвестиционного проекта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количественным критериям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1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90"/>
        <w:gridCol w:w="1400"/>
        <w:gridCol w:w="1371"/>
        <w:gridCol w:w="1400"/>
        <w:gridCol w:w="1540"/>
        <w:gridCol w:w="5141"/>
      </w:tblGrid>
      <w:tr w:rsidR="00243B69" w:rsidRPr="00243B69" w:rsidTr="00BC6AD8">
        <w:trPr>
          <w:trHeight w:val="116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E" w:rsidRDefault="00C52B8E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п\</w:t>
            </w: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Допустимые баллы оценки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 оценки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15607" wp14:editId="10DDFD5A">
                  <wp:extent cx="246380" cy="278130"/>
                  <wp:effectExtent l="0" t="0" r="127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))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Весовой коэффициент критерия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D0FA6" wp14:editId="3A5E131B">
                  <wp:extent cx="182880" cy="27813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Средневзвешенный балл</w:t>
            </w: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FD30E" wp14:editId="682092F4">
                  <wp:extent cx="516890" cy="2781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%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Ссылки на документальные подтверждения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 (в случае приобретения объекта недвижимого имущества).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строительства), включенной в установленном порядке в федеральный реестр сметных нормативов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потребителей продукции (услуг), создаваемой в результате р</w:t>
            </w:r>
            <w:r w:rsidR="005B2D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еализации инвестиционного проек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та, в количестве, достаточном для обе</w:t>
            </w:r>
            <w:r w:rsidR="005B2D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спечения проектируемого (норма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тивного) уровня использования </w:t>
            </w:r>
            <w:r w:rsidR="005B2D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проектной мощности объекта капи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тального строительства (мощности</w:t>
            </w:r>
            <w:r w:rsidR="005B2D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приобретаемого объекта недвижи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мого имущества)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0,5;</w:t>
            </w:r>
          </w:p>
          <w:p w:rsid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E5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E5A95" w:rsidRPr="00243B69" w:rsidRDefault="000E5A95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 для инвестиционных проектов, направленных на проведение проектно-изыскательских работ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проектной мощности создаваемого (реконструируемого) объекта капитальных вложений к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0E5A95" w:rsidRDefault="00243B69" w:rsidP="000E5A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E5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E5A95" w:rsidRDefault="000E5A95" w:rsidP="000E5A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 для инвестиционных проектов, направленных на проведение проектно-изыскательских работ</w:t>
            </w:r>
          </w:p>
          <w:p w:rsidR="00BC6AD8" w:rsidRPr="00243B69" w:rsidRDefault="00BC6AD8" w:rsidP="000E5A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местных нужд</w:t>
            </w:r>
          </w:p>
        </w:tc>
      </w:tr>
      <w:tr w:rsidR="00243B69" w:rsidRPr="00243B69" w:rsidTr="00A400F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планируемого объекта капитальных вложений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1;</w:t>
            </w:r>
          </w:p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0,5;</w:t>
            </w:r>
          </w:p>
          <w:p w:rsid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E5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E5A95" w:rsidRPr="00243B69" w:rsidRDefault="000E5A95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5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 не применим для инвестиционных проектов, направленных на проведение проектно-изыскательских работ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Обоснование планируемого обеспечения создаваемого (реконструируемого) объекта </w:t>
            </w:r>
            <w:r w:rsidR="000E5A95"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капитального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243B69" w:rsidRPr="00243B69" w:rsidTr="00A400F5">
        <w:trPr>
          <w:trHeight w:val="153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296CC" wp14:editId="124FE921">
                  <wp:extent cx="246380" cy="278130"/>
                  <wp:effectExtent l="0" t="0" r="127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F4260" wp14:editId="449216DF">
                  <wp:extent cx="1304290" cy="5245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B69" w:rsidRPr="00243B69" w:rsidRDefault="00243B69" w:rsidP="00243B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43B69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3</w:t>
      </w:r>
    </w:p>
    <w:p w:rsidR="00243B69" w:rsidRPr="00243B69" w:rsidRDefault="00243B69" w:rsidP="00243B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B6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Расчет интегральной оценки эффективности инвестиционного проекта</w:t>
      </w:r>
    </w:p>
    <w:p w:rsidR="00243B69" w:rsidRPr="00BC6AD8" w:rsidRDefault="00243B69" w:rsidP="00243B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51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18"/>
        <w:gridCol w:w="4714"/>
        <w:gridCol w:w="2836"/>
      </w:tblGrid>
      <w:tr w:rsidR="00243B69" w:rsidRPr="00243B69" w:rsidTr="00A400F5">
        <w:trPr>
          <w:jc w:val="center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Весовой коэффициент</w:t>
            </w:r>
          </w:p>
        </w:tc>
      </w:tr>
      <w:tr w:rsidR="00243B69" w:rsidRPr="00243B69" w:rsidTr="00BC6AD8">
        <w:trPr>
          <w:trHeight w:val="331"/>
          <w:jc w:val="center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на основе качественных критериев,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4331E" wp14:editId="71A9D206">
                  <wp:extent cx="246380" cy="278130"/>
                  <wp:effectExtent l="0" t="0" r="127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</w:tr>
      <w:tr w:rsidR="00243B69" w:rsidRPr="00243B69" w:rsidTr="00A400F5">
        <w:trPr>
          <w:jc w:val="center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на основе количественных критериев,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B1F00" wp14:editId="49110F5A">
                  <wp:extent cx="246380" cy="278130"/>
                  <wp:effectExtent l="0" t="0" r="127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</w:tr>
      <w:tr w:rsidR="00243B69" w:rsidRPr="00243B69" w:rsidTr="00A400F5">
        <w:trPr>
          <w:jc w:val="center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Интегральная оценка эффективности использования средств </w:t>
            </w: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федерального бюджета, направляемых на капитальные вложения,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6CD0F" wp14:editId="0475785E">
                  <wp:extent cx="36576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975F4E" wp14:editId="2F2FECCF">
                  <wp:extent cx="2011680" cy="27813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B69" w:rsidRPr="00243B69" w:rsidRDefault="00243B69" w:rsidP="00243B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B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</w:tbl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AD8" w:rsidRDefault="00BC6AD8" w:rsidP="00C52B8E">
      <w:pPr>
        <w:suppressAutoHyphens/>
        <w:autoSpaceDE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52C" w:rsidRDefault="0069052C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BC6AD8" w:rsidRDefault="00C52B8E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B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C52B8E" w:rsidRPr="00C52B8E" w:rsidRDefault="00C52B8E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B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C52B8E" w:rsidRPr="00C52B8E" w:rsidRDefault="00C52B8E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B8E">
        <w:rPr>
          <w:rFonts w:ascii="Times New Roman" w:eastAsia="Times New Roman" w:hAnsi="Times New Roman" w:cs="Times New Roman"/>
          <w:sz w:val="24"/>
          <w:szCs w:val="24"/>
          <w:lang w:eastAsia="zh-CN"/>
        </w:rPr>
        <w:t>Тосненский район Ленинградской области</w:t>
      </w:r>
    </w:p>
    <w:p w:rsidR="00C52B8E" w:rsidRPr="00C52B8E" w:rsidRDefault="00C52B8E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B8E" w:rsidRDefault="00C52B8E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B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</w:t>
      </w:r>
      <w:r w:rsidR="001F4C13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27.06.2023</w:t>
      </w:r>
      <w:r w:rsidRPr="00C52B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№</w:t>
      </w:r>
      <w:r w:rsidR="001F4C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2293-па</w:t>
      </w:r>
    </w:p>
    <w:p w:rsidR="0069052C" w:rsidRDefault="0069052C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52C" w:rsidRPr="0069052C" w:rsidRDefault="0069052C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52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5.2</w:t>
      </w:r>
    </w:p>
    <w:p w:rsidR="0069052C" w:rsidRPr="0069052C" w:rsidRDefault="0069052C" w:rsidP="00BC6AD8">
      <w:pPr>
        <w:suppressAutoHyphens/>
        <w:autoSpaceDE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52C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</w:t>
      </w:r>
    </w:p>
    <w:p w:rsidR="0069052C" w:rsidRPr="0069052C" w:rsidRDefault="0069052C" w:rsidP="006905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052C" w:rsidRPr="0069052C" w:rsidRDefault="0069052C" w:rsidP="006905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052C" w:rsidRPr="0069052C" w:rsidRDefault="0069052C" w:rsidP="006905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52C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весовых коэффициентов количественных критериев</w:t>
      </w:r>
    </w:p>
    <w:p w:rsidR="0069052C" w:rsidRPr="0069052C" w:rsidRDefault="0069052C" w:rsidP="0069052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52C" w:rsidRPr="0069052C" w:rsidRDefault="0069052C" w:rsidP="006905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52C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процентах</w:t>
      </w: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9978"/>
        <w:gridCol w:w="5103"/>
      </w:tblGrid>
      <w:tr w:rsidR="0069052C" w:rsidRPr="0069052C" w:rsidTr="00275D39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C52B8E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69052C"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п\</w:t>
            </w:r>
            <w:proofErr w:type="gramStart"/>
            <w:r w:rsidR="0069052C"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9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Строительство, реконструкция, в том числе с элементами реставрации,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проектно-изыскательские работы и </w:t>
            </w: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объекта недвижимого имущества: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2C" w:rsidRPr="0069052C" w:rsidRDefault="00C52B8E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="0069052C"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илищного фонда, образования, культуры и спорта; коммунальной, транспортной инфраструктуры, административных и иных зданий, охраны окружающей среды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trHeight w:val="43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(30*)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(70*)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2.4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проектной мощности создаваемого (реконструируемого) объекта капитальных вложений к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Возможность обеспечения планируемого объекта капитальных вложений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69052C" w:rsidRPr="0069052C" w:rsidTr="00275D39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52C" w:rsidRPr="0069052C" w:rsidRDefault="0069052C" w:rsidP="006905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5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69052C" w:rsidRPr="0069052C" w:rsidRDefault="0069052C" w:rsidP="0069052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9052C">
        <w:rPr>
          <w:rFonts w:ascii="Times New Roman" w:hAnsi="Times New Roman" w:cs="Times New Roman"/>
        </w:rPr>
        <w:t xml:space="preserve">Применим для </w:t>
      </w:r>
      <w:r w:rsidR="00312CF7">
        <w:rPr>
          <w:rFonts w:ascii="Times New Roman" w:hAnsi="Times New Roman" w:cs="Times New Roman"/>
        </w:rPr>
        <w:t xml:space="preserve">реализации </w:t>
      </w:r>
      <w:r w:rsidRPr="0069052C">
        <w:rPr>
          <w:rFonts w:ascii="Times New Roman" w:hAnsi="Times New Roman" w:cs="Times New Roman"/>
        </w:rPr>
        <w:t>инвестиционных проектов на проведение проектно-изыскательских работ</w:t>
      </w:r>
    </w:p>
    <w:sectPr w:rsidR="0069052C" w:rsidRPr="0069052C" w:rsidSect="00C52B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03" w:rsidRDefault="00EA7303" w:rsidP="005B2D83">
      <w:pPr>
        <w:spacing w:after="0" w:line="240" w:lineRule="auto"/>
      </w:pPr>
      <w:r>
        <w:separator/>
      </w:r>
    </w:p>
  </w:endnote>
  <w:endnote w:type="continuationSeparator" w:id="0">
    <w:p w:rsidR="00EA7303" w:rsidRDefault="00EA7303" w:rsidP="005B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03" w:rsidRDefault="00EA7303" w:rsidP="005B2D83">
      <w:pPr>
        <w:spacing w:after="0" w:line="240" w:lineRule="auto"/>
      </w:pPr>
      <w:r>
        <w:separator/>
      </w:r>
    </w:p>
  </w:footnote>
  <w:footnote w:type="continuationSeparator" w:id="0">
    <w:p w:rsidR="00EA7303" w:rsidRDefault="00EA7303" w:rsidP="005B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958826"/>
      <w:docPartObj>
        <w:docPartGallery w:val="Page Numbers (Top of Page)"/>
        <w:docPartUnique/>
      </w:docPartObj>
    </w:sdtPr>
    <w:sdtEndPr/>
    <w:sdtContent>
      <w:p w:rsidR="006751CE" w:rsidRDefault="00675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67">
          <w:rPr>
            <w:noProof/>
          </w:rPr>
          <w:t>14</w:t>
        </w:r>
        <w:r>
          <w:fldChar w:fldCharType="end"/>
        </w:r>
      </w:p>
    </w:sdtContent>
  </w:sdt>
  <w:p w:rsidR="006751CE" w:rsidRDefault="006751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4C7"/>
    <w:multiLevelType w:val="hybridMultilevel"/>
    <w:tmpl w:val="87F4208C"/>
    <w:lvl w:ilvl="0" w:tplc="F3A6A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2070D"/>
    <w:multiLevelType w:val="multilevel"/>
    <w:tmpl w:val="72E8A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25C1E0A"/>
    <w:multiLevelType w:val="hybridMultilevel"/>
    <w:tmpl w:val="753CF990"/>
    <w:lvl w:ilvl="0" w:tplc="9AC4D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F6BE7"/>
    <w:multiLevelType w:val="hybridMultilevel"/>
    <w:tmpl w:val="00004B58"/>
    <w:lvl w:ilvl="0" w:tplc="5AC6B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E4306F"/>
    <w:multiLevelType w:val="hybridMultilevel"/>
    <w:tmpl w:val="B742040E"/>
    <w:lvl w:ilvl="0" w:tplc="E4D0C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8619E"/>
    <w:multiLevelType w:val="hybridMultilevel"/>
    <w:tmpl w:val="55F87066"/>
    <w:lvl w:ilvl="0" w:tplc="59884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66194"/>
    <w:multiLevelType w:val="hybridMultilevel"/>
    <w:tmpl w:val="98A0A550"/>
    <w:lvl w:ilvl="0" w:tplc="030C51F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05B1"/>
    <w:multiLevelType w:val="multilevel"/>
    <w:tmpl w:val="9DDE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BE37BE6"/>
    <w:multiLevelType w:val="hybridMultilevel"/>
    <w:tmpl w:val="6A62AA44"/>
    <w:lvl w:ilvl="0" w:tplc="B6D47F12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5"/>
    <w:rsid w:val="000214BE"/>
    <w:rsid w:val="000357DE"/>
    <w:rsid w:val="00084778"/>
    <w:rsid w:val="000E5A95"/>
    <w:rsid w:val="00123EED"/>
    <w:rsid w:val="00156283"/>
    <w:rsid w:val="001805A4"/>
    <w:rsid w:val="00193599"/>
    <w:rsid w:val="001B50AB"/>
    <w:rsid w:val="001F4C13"/>
    <w:rsid w:val="00240085"/>
    <w:rsid w:val="00243B69"/>
    <w:rsid w:val="00275D39"/>
    <w:rsid w:val="00312CF7"/>
    <w:rsid w:val="003E30EA"/>
    <w:rsid w:val="00437430"/>
    <w:rsid w:val="00481BE7"/>
    <w:rsid w:val="0054218D"/>
    <w:rsid w:val="00544F42"/>
    <w:rsid w:val="00584416"/>
    <w:rsid w:val="00593B77"/>
    <w:rsid w:val="005959C5"/>
    <w:rsid w:val="005972BF"/>
    <w:rsid w:val="005B2D83"/>
    <w:rsid w:val="005B38D7"/>
    <w:rsid w:val="005D69DD"/>
    <w:rsid w:val="00602AA1"/>
    <w:rsid w:val="00604067"/>
    <w:rsid w:val="00607735"/>
    <w:rsid w:val="006751CE"/>
    <w:rsid w:val="00677CAB"/>
    <w:rsid w:val="0069052C"/>
    <w:rsid w:val="006B6343"/>
    <w:rsid w:val="006F37CA"/>
    <w:rsid w:val="0075730B"/>
    <w:rsid w:val="007F1439"/>
    <w:rsid w:val="008C6D3E"/>
    <w:rsid w:val="008F4DF6"/>
    <w:rsid w:val="00911878"/>
    <w:rsid w:val="00936748"/>
    <w:rsid w:val="009E4532"/>
    <w:rsid w:val="009E7CEA"/>
    <w:rsid w:val="009F7F63"/>
    <w:rsid w:val="00A400F5"/>
    <w:rsid w:val="00A84F32"/>
    <w:rsid w:val="00B43446"/>
    <w:rsid w:val="00B967A1"/>
    <w:rsid w:val="00BB2187"/>
    <w:rsid w:val="00BC6AD8"/>
    <w:rsid w:val="00C105FC"/>
    <w:rsid w:val="00C27470"/>
    <w:rsid w:val="00C52B8E"/>
    <w:rsid w:val="00C7794A"/>
    <w:rsid w:val="00D00A35"/>
    <w:rsid w:val="00D41EC0"/>
    <w:rsid w:val="00D464BD"/>
    <w:rsid w:val="00D76684"/>
    <w:rsid w:val="00DA7562"/>
    <w:rsid w:val="00DD6BD1"/>
    <w:rsid w:val="00E47F43"/>
    <w:rsid w:val="00E90296"/>
    <w:rsid w:val="00E97168"/>
    <w:rsid w:val="00EA7303"/>
    <w:rsid w:val="00ED6BE8"/>
    <w:rsid w:val="00F05F10"/>
    <w:rsid w:val="00F1326D"/>
    <w:rsid w:val="00F56283"/>
    <w:rsid w:val="00FE259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D83"/>
  </w:style>
  <w:style w:type="paragraph" w:styleId="a8">
    <w:name w:val="footer"/>
    <w:basedOn w:val="a"/>
    <w:link w:val="a9"/>
    <w:uiPriority w:val="99"/>
    <w:unhideWhenUsed/>
    <w:rsid w:val="005B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D83"/>
  </w:style>
  <w:style w:type="paragraph" w:styleId="a8">
    <w:name w:val="footer"/>
    <w:basedOn w:val="a"/>
    <w:link w:val="a9"/>
    <w:uiPriority w:val="99"/>
    <w:unhideWhenUsed/>
    <w:rsid w:val="005B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F6C00F08FDEBE21734ED0D956265A71FCBE08ACCA7E73B47DC0E1155DFE16E3A33CF90BEq0i9I" TargetMode="Externa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6C00F08FDEBE21734ED0D956265A71FCAE781C0A2E73B47DC0E1155DFE16E3A33CF95B0q0i9I" TargetMode="External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Шушаник Михайловна</dc:creator>
  <cp:lastModifiedBy>Морозова Ольга Олеговна</cp:lastModifiedBy>
  <cp:revision>2</cp:revision>
  <cp:lastPrinted>2023-06-27T04:35:00Z</cp:lastPrinted>
  <dcterms:created xsi:type="dcterms:W3CDTF">2023-06-28T12:22:00Z</dcterms:created>
  <dcterms:modified xsi:type="dcterms:W3CDTF">2023-06-28T12:22:00Z</dcterms:modified>
</cp:coreProperties>
</file>